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91EBFA">
      <w:pPr>
        <w:ind w:firstLine="640"/>
        <w:rPr>
          <w:szCs w:val="32"/>
        </w:rPr>
      </w:pPr>
    </w:p>
    <w:p w14:paraId="328C436F">
      <w:pPr>
        <w:ind w:firstLine="640"/>
        <w:rPr>
          <w:szCs w:val="32"/>
        </w:rPr>
      </w:pPr>
    </w:p>
    <w:p w14:paraId="66A46A03">
      <w:pPr>
        <w:ind w:firstLine="640"/>
        <w:rPr>
          <w:szCs w:val="32"/>
        </w:rPr>
      </w:pPr>
    </w:p>
    <w:p w14:paraId="52911FFF">
      <w:pPr>
        <w:ind w:firstLine="640"/>
        <w:rPr>
          <w:szCs w:val="32"/>
        </w:rPr>
      </w:pPr>
    </w:p>
    <w:p w14:paraId="75F99F08">
      <w:pPr>
        <w:ind w:firstLine="640"/>
        <w:rPr>
          <w:szCs w:val="32"/>
        </w:rPr>
      </w:pPr>
    </w:p>
    <w:p w14:paraId="6FE144EA">
      <w:pPr>
        <w:ind w:firstLine="640"/>
        <w:rPr>
          <w:szCs w:val="32"/>
        </w:rPr>
      </w:pPr>
    </w:p>
    <w:p w14:paraId="139915B5">
      <w:pPr>
        <w:ind w:firstLine="0" w:firstLineChars="0"/>
        <w:jc w:val="center"/>
        <w:rPr>
          <w:rFonts w:ascii="方正小标宋_GBK" w:eastAsia="方正小标宋_GBK"/>
          <w:sz w:val="44"/>
          <w:szCs w:val="44"/>
        </w:rPr>
      </w:pPr>
      <w:r>
        <w:rPr>
          <w:rFonts w:hint="eastAsia" w:ascii="方正小标宋_GBK" w:eastAsia="方正小标宋_GBK"/>
          <w:sz w:val="44"/>
          <w:szCs w:val="44"/>
        </w:rPr>
        <w:t>重庆高新区管委会办公室</w:t>
      </w:r>
    </w:p>
    <w:p w14:paraId="25C4136F">
      <w:pPr>
        <w:ind w:firstLine="0" w:firstLineChars="0"/>
        <w:jc w:val="center"/>
        <w:rPr>
          <w:rFonts w:ascii="方正小标宋_GBK" w:eastAsia="方正小标宋_GBK"/>
          <w:sz w:val="44"/>
          <w:szCs w:val="44"/>
        </w:rPr>
      </w:pPr>
      <w:r>
        <w:rPr>
          <w:rFonts w:hint="eastAsia" w:ascii="方正小标宋_GBK" w:eastAsia="方正小标宋_GBK"/>
          <w:sz w:val="44"/>
          <w:szCs w:val="44"/>
        </w:rPr>
        <w:t>关于印发《重庆高新区工贸</w:t>
      </w:r>
      <w:bookmarkStart w:id="0" w:name="_GoBack"/>
      <w:bookmarkEnd w:id="0"/>
      <w:r>
        <w:rPr>
          <w:rFonts w:hint="eastAsia" w:ascii="方正小标宋_GBK" w:eastAsia="方正小标宋_GBK"/>
          <w:sz w:val="44"/>
          <w:szCs w:val="44"/>
        </w:rPr>
        <w:t>行业生产安全事故应急预案》的通知</w:t>
      </w:r>
    </w:p>
    <w:p w14:paraId="1BC7859D">
      <w:pPr>
        <w:ind w:firstLine="640"/>
        <w:rPr>
          <w:szCs w:val="32"/>
        </w:rPr>
      </w:pPr>
    </w:p>
    <w:p w14:paraId="4C1AE166">
      <w:pPr>
        <w:ind w:firstLine="0" w:firstLineChars="0"/>
        <w:rPr>
          <w:szCs w:val="32"/>
        </w:rPr>
      </w:pPr>
      <w:r>
        <w:rPr>
          <w:rFonts w:hint="eastAsia"/>
          <w:szCs w:val="32"/>
        </w:rPr>
        <w:t>各镇人民政府、街道办事处，管委会各部门、各直属企事业单位，有关单位：</w:t>
      </w:r>
    </w:p>
    <w:p w14:paraId="4DD28C2D">
      <w:pPr>
        <w:ind w:firstLine="640"/>
        <w:rPr>
          <w:szCs w:val="32"/>
        </w:rPr>
      </w:pPr>
      <w:r>
        <w:rPr>
          <w:rFonts w:hint="eastAsia"/>
          <w:szCs w:val="32"/>
        </w:rPr>
        <w:t>《重庆高新区工贸行业生产安全事故应急预案》已经2025年第22次管委会常务会议审议通过，现印发给你们，请认真贯彻执行。</w:t>
      </w:r>
    </w:p>
    <w:p w14:paraId="4C39DC9C">
      <w:pPr>
        <w:ind w:firstLine="640"/>
        <w:rPr>
          <w:szCs w:val="32"/>
        </w:rPr>
      </w:pPr>
    </w:p>
    <w:p w14:paraId="129FB0BD">
      <w:pPr>
        <w:ind w:firstLine="640"/>
        <w:rPr>
          <w:szCs w:val="32"/>
        </w:rPr>
      </w:pPr>
    </w:p>
    <w:p w14:paraId="300708A8">
      <w:pPr>
        <w:ind w:firstLine="640"/>
        <w:jc w:val="right"/>
        <w:rPr>
          <w:szCs w:val="32"/>
        </w:rPr>
      </w:pPr>
      <w:r>
        <w:rPr>
          <w:rFonts w:hint="eastAsia"/>
          <w:szCs w:val="32"/>
        </w:rPr>
        <w:t>重庆高新区管委会办公室</w:t>
      </w:r>
    </w:p>
    <w:p w14:paraId="0E3114F7">
      <w:pPr>
        <w:wordWrap w:val="0"/>
        <w:ind w:firstLine="640"/>
        <w:jc w:val="right"/>
        <w:rPr>
          <w:szCs w:val="32"/>
        </w:rPr>
      </w:pPr>
      <w:r>
        <w:rPr>
          <w:rFonts w:hint="eastAsia"/>
          <w:szCs w:val="32"/>
        </w:rPr>
        <w:t xml:space="preserve">2025年12月 </w:t>
      </w:r>
      <w:r>
        <w:rPr>
          <w:rFonts w:hint="eastAsia"/>
          <w:szCs w:val="32"/>
          <w:lang w:val="en-US" w:eastAsia="zh-CN"/>
        </w:rPr>
        <w:t>29</w:t>
      </w:r>
      <w:r>
        <w:rPr>
          <w:rFonts w:hint="eastAsia"/>
          <w:szCs w:val="32"/>
        </w:rPr>
        <w:t xml:space="preserve">日 </w:t>
      </w:r>
      <w:r>
        <w:rPr>
          <w:szCs w:val="32"/>
        </w:rPr>
        <w:t xml:space="preserve">  </w:t>
      </w:r>
    </w:p>
    <w:p w14:paraId="75D9BFA1">
      <w:pPr>
        <w:ind w:firstLine="640"/>
        <w:rPr>
          <w:szCs w:val="32"/>
        </w:rPr>
        <w:sectPr>
          <w:headerReference r:id="rId7" w:type="first"/>
          <w:footerReference r:id="rId10" w:type="first"/>
          <w:headerReference r:id="rId5" w:type="default"/>
          <w:footerReference r:id="rId8" w:type="default"/>
          <w:headerReference r:id="rId6" w:type="even"/>
          <w:footerReference r:id="rId9" w:type="even"/>
          <w:pgSz w:w="11906" w:h="16838"/>
          <w:pgMar w:top="2098" w:right="1531" w:bottom="1985" w:left="1531" w:header="851" w:footer="1531" w:gutter="0"/>
          <w:cols w:space="425" w:num="1"/>
          <w:docGrid w:type="lines" w:linePitch="312" w:charSpace="0"/>
        </w:sectPr>
      </w:pPr>
      <w:r>
        <w:rPr>
          <w:rFonts w:hint="eastAsia"/>
          <w:szCs w:val="32"/>
        </w:rPr>
        <w:t>（此件公开发布）</w:t>
      </w:r>
    </w:p>
    <w:p w14:paraId="5F711BAB">
      <w:pPr>
        <w:ind w:firstLine="0" w:firstLineChars="0"/>
        <w:jc w:val="center"/>
        <w:rPr>
          <w:rFonts w:ascii="方正小标宋_GBK" w:eastAsia="方正小标宋_GBK"/>
          <w:sz w:val="44"/>
          <w:szCs w:val="44"/>
        </w:rPr>
      </w:pPr>
      <w:r>
        <w:rPr>
          <w:rFonts w:hint="eastAsia" w:ascii="方正小标宋_GBK" w:eastAsia="方正小标宋_GBK"/>
          <w:sz w:val="44"/>
          <w:szCs w:val="44"/>
        </w:rPr>
        <w:t>重庆高新区工贸行业生产安全事故应急预案</w:t>
      </w:r>
    </w:p>
    <w:p w14:paraId="20AB2487">
      <w:pPr>
        <w:ind w:firstLine="640"/>
        <w:rPr>
          <w:szCs w:val="32"/>
        </w:rPr>
      </w:pPr>
    </w:p>
    <w:p w14:paraId="67FEBB5F">
      <w:pPr>
        <w:pStyle w:val="8"/>
        <w:ind w:firstLine="640"/>
      </w:pPr>
      <w:r>
        <w:t>1 </w:t>
      </w:r>
      <w:r>
        <w:rPr>
          <w:rFonts w:hint="eastAsia"/>
        </w:rPr>
        <w:t>总则</w:t>
      </w:r>
    </w:p>
    <w:p w14:paraId="0117BEE3">
      <w:pPr>
        <w:pStyle w:val="10"/>
        <w:ind w:firstLine="640"/>
      </w:pPr>
      <w:r>
        <w:t>1.1 </w:t>
      </w:r>
      <w:r>
        <w:rPr>
          <w:rFonts w:hint="eastAsia"/>
        </w:rPr>
        <w:t>编制目的</w:t>
      </w:r>
    </w:p>
    <w:p w14:paraId="6E58843E">
      <w:pPr>
        <w:ind w:firstLine="640"/>
        <w:rPr>
          <w:szCs w:val="32"/>
        </w:rPr>
      </w:pPr>
      <w:r>
        <w:rPr>
          <w:rFonts w:hint="eastAsia"/>
          <w:szCs w:val="32"/>
        </w:rPr>
        <w:t>为建立健全重庆高新区工贸领域各行业生产安全事故应急工作机制，进一步提升工贸行业生产安全事故应急处置能力，最大程度地减少事故及其造成的人员伤亡、财产损失和环境损害，保障公众生命财产安全。</w:t>
      </w:r>
    </w:p>
    <w:p w14:paraId="17C9664D">
      <w:pPr>
        <w:pStyle w:val="10"/>
        <w:ind w:firstLine="640"/>
      </w:pPr>
      <w:r>
        <w:t>1.2 </w:t>
      </w:r>
      <w:r>
        <w:rPr>
          <w:rFonts w:hint="eastAsia"/>
        </w:rPr>
        <w:t>编制依据</w:t>
      </w:r>
    </w:p>
    <w:p w14:paraId="44E42D94">
      <w:pPr>
        <w:ind w:firstLine="640"/>
        <w:rPr>
          <w:szCs w:val="32"/>
        </w:rPr>
      </w:pPr>
      <w:r>
        <w:rPr>
          <w:rFonts w:hint="eastAsia"/>
          <w:szCs w:val="32"/>
        </w:rPr>
        <w:t>根据《中华人民共和国突发事件应对法》《中华人民共和国安全生产法》《中华人民共和国消防法》《生产安全事故应急条例》《生产安全事故报告和调查处理条例》《生产安全事故应急预案管理办法》《重庆市突发事件应对条例》《重庆市安全生产条例》《重庆市突发事件应急预案管理实施办法》《重庆市突发事件预警信息发布管理办法》《重庆市生产安全事故应急预案管理办法实施细则》《重庆市安全生产委员会办公室关于印发〈重庆市工贸行业生产安全事故应急预案（试行版）〉的通知》《重庆高新区突发事件总体应急预案》等法律法规和有关规定，制定本预案。</w:t>
      </w:r>
    </w:p>
    <w:p w14:paraId="04B72389">
      <w:pPr>
        <w:pStyle w:val="10"/>
        <w:ind w:firstLine="640"/>
      </w:pPr>
      <w:r>
        <w:t>1.3 </w:t>
      </w:r>
      <w:r>
        <w:rPr>
          <w:rFonts w:hint="eastAsia"/>
        </w:rPr>
        <w:t>适用范围</w:t>
      </w:r>
    </w:p>
    <w:p w14:paraId="36FEFF54">
      <w:pPr>
        <w:ind w:firstLine="640"/>
        <w:rPr>
          <w:szCs w:val="32"/>
        </w:rPr>
      </w:pPr>
      <w:r>
        <w:rPr>
          <w:rFonts w:hint="eastAsia"/>
          <w:szCs w:val="32"/>
        </w:rPr>
        <w:t>本预案适用于重庆高新区直管园范围内建材、轻工、机械、纺织、商贸等八大行业发生或可能发生生产安全事故的应急救援工作。</w:t>
      </w:r>
    </w:p>
    <w:p w14:paraId="494DEAA6">
      <w:pPr>
        <w:pStyle w:val="10"/>
        <w:ind w:firstLine="640"/>
      </w:pPr>
      <w:r>
        <w:t>1.4 </w:t>
      </w:r>
      <w:r>
        <w:rPr>
          <w:rFonts w:hint="eastAsia"/>
        </w:rPr>
        <w:t>工作原则</w:t>
      </w:r>
    </w:p>
    <w:p w14:paraId="616F7C26">
      <w:pPr>
        <w:ind w:firstLine="640"/>
        <w:rPr>
          <w:szCs w:val="32"/>
        </w:rPr>
      </w:pPr>
      <w:r>
        <w:rPr>
          <w:rFonts w:hint="eastAsia"/>
          <w:szCs w:val="32"/>
        </w:rPr>
        <w:t>坚持人民至上、生命至上，统一领导、分级负责，部门联动、协同配合，资源整合、科学应对的原则。</w:t>
      </w:r>
    </w:p>
    <w:p w14:paraId="4483173B">
      <w:pPr>
        <w:pStyle w:val="10"/>
        <w:ind w:firstLine="640"/>
      </w:pPr>
      <w:r>
        <w:t>1.5 </w:t>
      </w:r>
      <w:r>
        <w:rPr>
          <w:rFonts w:hint="eastAsia"/>
        </w:rPr>
        <w:t>事故分级</w:t>
      </w:r>
    </w:p>
    <w:p w14:paraId="5260FD42">
      <w:pPr>
        <w:ind w:firstLine="640"/>
        <w:rPr>
          <w:szCs w:val="32"/>
        </w:rPr>
      </w:pPr>
      <w:r>
        <w:rPr>
          <w:rFonts w:hint="eastAsia"/>
          <w:szCs w:val="32"/>
        </w:rPr>
        <w:t>根据国务院《生产安全事故报告和调查处理条例》等有关规定，按照社会危害程度、影响范围等，工贸行业生产安全事故由高到低分为特别重大、重大、较大、一般四个等级。</w:t>
      </w:r>
    </w:p>
    <w:p w14:paraId="527D0A8D">
      <w:pPr>
        <w:ind w:firstLine="640"/>
        <w:rPr>
          <w:szCs w:val="32"/>
        </w:rPr>
      </w:pPr>
      <w:r>
        <w:rPr>
          <w:rFonts w:hint="eastAsia"/>
          <w:szCs w:val="32"/>
        </w:rPr>
        <w:t>（1）特别重大事故：造成30人以上死亡，或重伤100人以上；直接经济损失1亿元以上。</w:t>
      </w:r>
    </w:p>
    <w:p w14:paraId="2775A549">
      <w:pPr>
        <w:ind w:firstLine="640"/>
        <w:rPr>
          <w:szCs w:val="32"/>
        </w:rPr>
      </w:pPr>
      <w:r>
        <w:rPr>
          <w:rFonts w:hint="eastAsia"/>
          <w:szCs w:val="32"/>
        </w:rPr>
        <w:t>（2）重大事故：造成10人以上30人以下死亡，或重伤50人以上100人以下；直接经济损失5000万元以上1亿元以下。</w:t>
      </w:r>
    </w:p>
    <w:p w14:paraId="285C708A">
      <w:pPr>
        <w:ind w:firstLine="640"/>
        <w:rPr>
          <w:szCs w:val="32"/>
        </w:rPr>
      </w:pPr>
      <w:r>
        <w:rPr>
          <w:rFonts w:hint="eastAsia"/>
          <w:szCs w:val="32"/>
        </w:rPr>
        <w:t>（3）较大事故：造成3人以上10人以下死亡，或重伤10人以上50人以下；直接经济损失1000万元以上5000万元以下。</w:t>
      </w:r>
    </w:p>
    <w:p w14:paraId="07A5449F">
      <w:pPr>
        <w:ind w:firstLine="640"/>
        <w:rPr>
          <w:szCs w:val="32"/>
        </w:rPr>
      </w:pPr>
      <w:r>
        <w:rPr>
          <w:rFonts w:hint="eastAsia"/>
          <w:szCs w:val="32"/>
        </w:rPr>
        <w:t>（4）一般事故：造成3人以下死亡，或重伤10人以下；直接经济损失1000万元以下。</w:t>
      </w:r>
    </w:p>
    <w:p w14:paraId="5BB12E2B">
      <w:pPr>
        <w:ind w:firstLine="640"/>
        <w:rPr>
          <w:szCs w:val="32"/>
        </w:rPr>
      </w:pPr>
      <w:r>
        <w:rPr>
          <w:rFonts w:hint="eastAsia"/>
          <w:szCs w:val="32"/>
        </w:rPr>
        <w:t>上述有关数量表述中，“以上”含本数，“以下”不含本数。</w:t>
      </w:r>
    </w:p>
    <w:p w14:paraId="78357999">
      <w:pPr>
        <w:pStyle w:val="10"/>
        <w:ind w:firstLine="640"/>
      </w:pPr>
      <w:r>
        <w:t>1.6 </w:t>
      </w:r>
      <w:r>
        <w:rPr>
          <w:rFonts w:hint="eastAsia"/>
        </w:rPr>
        <w:t>风险分析</w:t>
      </w:r>
    </w:p>
    <w:p w14:paraId="376910E0">
      <w:pPr>
        <w:ind w:firstLine="640"/>
        <w:rPr>
          <w:szCs w:val="32"/>
        </w:rPr>
      </w:pPr>
      <w:r>
        <w:rPr>
          <w:rFonts w:hint="eastAsia"/>
          <w:szCs w:val="32"/>
        </w:rPr>
        <w:t>重庆高新区“四涉一有限一使用”（粉尘爆炸、高温熔融金属、煤气（天然气）、涉氨制冷、有限空间作业、燃爆毒危化品使用）企业共38家，辖区不涉及高温熔融金属，涉及的主要危险化学品如乙炔、乙醇、甲苯、丙酮、氯气、液氨、强酸强碱、氧化剂等等，存在着易燃、爆炸、毒性、腐蚀等危险特性，会对人员、财产和环境造成严重威胁。</w:t>
      </w:r>
    </w:p>
    <w:p w14:paraId="05DF53DC">
      <w:pPr>
        <w:ind w:firstLine="640"/>
        <w:rPr>
          <w:szCs w:val="32"/>
        </w:rPr>
      </w:pPr>
      <w:r>
        <w:rPr>
          <w:rFonts w:hint="eastAsia"/>
          <w:szCs w:val="32"/>
        </w:rPr>
        <w:t>根据“四涉一有限一使用”企业事故发生的过程、性质和机理，可能发生的生产安全事故有火灾、爆炸、中毒、窒息、灼烫、冻伤，此外还有坍塌、触电、高处坠落、起重伤害、物体打击、车辆伤害、淹溺等事故。</w:t>
      </w:r>
    </w:p>
    <w:p w14:paraId="621040B8">
      <w:pPr>
        <w:pStyle w:val="10"/>
        <w:ind w:firstLine="640"/>
      </w:pPr>
      <w:r>
        <w:t>1.7 </w:t>
      </w:r>
      <w:r>
        <w:rPr>
          <w:rFonts w:hint="eastAsia"/>
        </w:rPr>
        <w:t>预案体系</w:t>
      </w:r>
    </w:p>
    <w:p w14:paraId="45755A42">
      <w:pPr>
        <w:ind w:firstLine="640"/>
        <w:rPr>
          <w:szCs w:val="32"/>
        </w:rPr>
      </w:pPr>
      <w:r>
        <w:rPr>
          <w:rFonts w:hint="eastAsia"/>
          <w:szCs w:val="32"/>
        </w:rPr>
        <w:t>本预案与《重庆市工贸行业生产安全事故应急预案》《重庆高新区突发事件总体应急预案》相衔接。同时，本预案也是重庆高新区工贸企业生产安全事故应急预案的上位预案。</w:t>
      </w:r>
    </w:p>
    <w:p w14:paraId="271BA891">
      <w:pPr>
        <w:pStyle w:val="8"/>
        <w:ind w:firstLine="640"/>
      </w:pPr>
      <w:r>
        <w:t>2 </w:t>
      </w:r>
      <w:r>
        <w:rPr>
          <w:rFonts w:hint="eastAsia"/>
        </w:rPr>
        <w:t>组织体系</w:t>
      </w:r>
    </w:p>
    <w:p w14:paraId="76E60007">
      <w:pPr>
        <w:pStyle w:val="10"/>
        <w:ind w:firstLine="640"/>
      </w:pPr>
      <w:r>
        <w:rPr>
          <w:rFonts w:hint="eastAsia"/>
        </w:rPr>
        <w:t>2.1　应急管理体系</w:t>
      </w:r>
    </w:p>
    <w:p w14:paraId="1BD22E61">
      <w:pPr>
        <w:ind w:firstLine="640"/>
        <w:rPr>
          <w:szCs w:val="32"/>
        </w:rPr>
      </w:pPr>
      <w:r>
        <w:rPr>
          <w:rFonts w:hint="eastAsia"/>
          <w:szCs w:val="32"/>
        </w:rPr>
        <w:t>重庆高新区安全生产委员会（以下简称区安委会）为重庆高新区安全生产管理领导指挥机构。区安委会下设工业安全生产专业委员会、商务安全生产专业委员会两个专业委员会（以下简称专委会），专委会办公室设在改革发展局，由改革发展局分管负责人兼任办公室主任。</w:t>
      </w:r>
    </w:p>
    <w:p w14:paraId="04989D14">
      <w:pPr>
        <w:pStyle w:val="10"/>
        <w:ind w:firstLine="640"/>
      </w:pPr>
      <w:r>
        <w:rPr>
          <w:rFonts w:hint="eastAsia"/>
        </w:rPr>
        <w:t>2.2　应急指挥机构</w:t>
      </w:r>
    </w:p>
    <w:p w14:paraId="486CFDA4">
      <w:pPr>
        <w:ind w:firstLine="640"/>
        <w:rPr>
          <w:szCs w:val="32"/>
        </w:rPr>
      </w:pPr>
      <w:r>
        <w:rPr>
          <w:rFonts w:hint="eastAsia"/>
          <w:szCs w:val="32"/>
        </w:rPr>
        <w:t>工贸行业生产安全事故发生后，区安委会授权专委会组建重庆高新区工贸行业生产安全事故应急指挥部（以下简称区应急指挥部），统一组织、领导和指挥协调工贸行业生产安全事故应急救援工作。事故应急处置结束后，该应急指挥部自动撤销。</w:t>
      </w:r>
    </w:p>
    <w:p w14:paraId="3B7A7DC7">
      <w:pPr>
        <w:pStyle w:val="10"/>
        <w:ind w:firstLine="640"/>
      </w:pPr>
      <w:r>
        <w:rPr>
          <w:rFonts w:hint="eastAsia"/>
        </w:rPr>
        <w:t>2.3　现场指挥机构</w:t>
      </w:r>
    </w:p>
    <w:p w14:paraId="6E919F47">
      <w:pPr>
        <w:pStyle w:val="14"/>
        <w:ind w:firstLine="640"/>
      </w:pPr>
      <w:r>
        <w:t>2.3.1 </w:t>
      </w:r>
      <w:r>
        <w:rPr>
          <w:rFonts w:hint="eastAsia"/>
        </w:rPr>
        <w:t>现场指挥部</w:t>
      </w:r>
    </w:p>
    <w:p w14:paraId="4483B69D">
      <w:pPr>
        <w:ind w:firstLine="640"/>
        <w:rPr>
          <w:szCs w:val="32"/>
        </w:rPr>
      </w:pPr>
      <w:r>
        <w:rPr>
          <w:rFonts w:hint="eastAsia"/>
          <w:szCs w:val="32"/>
        </w:rPr>
        <w:t>区应急指挥部根据应急处置工作的需要，设立现场指挥部，作为现场应急指挥机构，在区应急指挥部领导下，具体负责指挥协调事故现场的应急处置与救援行动。</w:t>
      </w:r>
    </w:p>
    <w:p w14:paraId="66B6AFB4">
      <w:pPr>
        <w:pStyle w:val="14"/>
        <w:ind w:firstLine="640"/>
      </w:pPr>
      <w:r>
        <w:t>2.3.2 </w:t>
      </w:r>
      <w:r>
        <w:rPr>
          <w:rFonts w:hint="eastAsia"/>
        </w:rPr>
        <w:t>人员组成</w:t>
      </w:r>
    </w:p>
    <w:p w14:paraId="39488ABA">
      <w:pPr>
        <w:ind w:firstLine="640"/>
        <w:rPr>
          <w:szCs w:val="32"/>
        </w:rPr>
      </w:pPr>
      <w:r>
        <w:rPr>
          <w:rFonts w:hint="eastAsia"/>
          <w:szCs w:val="32"/>
        </w:rPr>
        <w:t>现场指挥部由管委会分管工贸行业委领导任指挥长，办公室副主任、改革发展局局长、应急管理局局长任副指挥长，财政局、生态环境局、公共服务局、应急管理局、市场监督管理局、城市建设事务中心、融媒体中心、公安分局、消防支队、西永产投集团、高新开发集团，镇街等部门（单位）负责人为成员。</w:t>
      </w:r>
    </w:p>
    <w:p w14:paraId="6AA52085">
      <w:pPr>
        <w:pStyle w:val="14"/>
        <w:ind w:firstLine="640"/>
      </w:pPr>
      <w:r>
        <w:t>2.3.3 </w:t>
      </w:r>
      <w:r>
        <w:rPr>
          <w:rFonts w:hint="eastAsia"/>
        </w:rPr>
        <w:t>专项工作组</w:t>
      </w:r>
    </w:p>
    <w:p w14:paraId="107079D9">
      <w:pPr>
        <w:ind w:firstLine="640"/>
        <w:rPr>
          <w:szCs w:val="32"/>
        </w:rPr>
      </w:pPr>
      <w:r>
        <w:rPr>
          <w:rFonts w:hint="eastAsia"/>
          <w:szCs w:val="32"/>
        </w:rPr>
        <w:t>根据工贸行业生产安全事故应急处置工作需要，区现场应急指挥部下设综合协调组、抢险救援组、安全保卫组、医疗救治组、后勤保障组、善后工作组、环境监测组、舆情导控组、其他工作组等9个专项工作组。</w:t>
      </w:r>
    </w:p>
    <w:p w14:paraId="6C04C0C4">
      <w:pPr>
        <w:ind w:firstLine="640"/>
        <w:rPr>
          <w:szCs w:val="32"/>
        </w:rPr>
      </w:pPr>
      <w:r>
        <w:rPr>
          <w:rFonts w:hint="eastAsia"/>
          <w:szCs w:val="32"/>
        </w:rPr>
        <w:t>各工作组由区安委会相关成员单位组成，工作组组长由牵头单位分管负责同志担任，负责组织协调工作组各成员单位按照职责分工，各负其责，密切配合，共同做好应急处置工作。现场指挥部可根据应急处置实际需要增减工作组或调整成员单位。</w:t>
      </w:r>
    </w:p>
    <w:p w14:paraId="24FB1535">
      <w:pPr>
        <w:ind w:firstLine="640"/>
        <w:rPr>
          <w:szCs w:val="32"/>
        </w:rPr>
      </w:pPr>
      <w:r>
        <w:rPr>
          <w:rFonts w:hint="eastAsia"/>
          <w:szCs w:val="32"/>
        </w:rPr>
        <w:t>区应急指挥部及成员单位、现场指挥部及工作组职责见附录。</w:t>
      </w:r>
    </w:p>
    <w:p w14:paraId="24390D75">
      <w:pPr>
        <w:pStyle w:val="10"/>
        <w:ind w:firstLine="640"/>
      </w:pPr>
      <w:r>
        <w:t>2.4 </w:t>
      </w:r>
      <w:r>
        <w:rPr>
          <w:rFonts w:hint="eastAsia"/>
        </w:rPr>
        <w:t>专家组</w:t>
      </w:r>
    </w:p>
    <w:p w14:paraId="3C82EF90">
      <w:pPr>
        <w:ind w:firstLine="640"/>
        <w:rPr>
          <w:szCs w:val="32"/>
        </w:rPr>
      </w:pPr>
      <w:r>
        <w:rPr>
          <w:rFonts w:hint="eastAsia"/>
          <w:szCs w:val="32"/>
        </w:rPr>
        <w:t>依托市应急管理专家库，聘请专家组成工贸行业生产安全事故应急专家组，为工贸行业生产安全事故应急准备和救援工作提供意见和建议；向现场指挥部提供应急处置技术方案；参与事故调查，提出事故原因分析意见。</w:t>
      </w:r>
    </w:p>
    <w:p w14:paraId="2E5B2759">
      <w:pPr>
        <w:pStyle w:val="8"/>
        <w:ind w:firstLine="640"/>
      </w:pPr>
      <w:r>
        <w:rPr>
          <w:rFonts w:hint="eastAsia"/>
        </w:rPr>
        <w:t>3　预防预警</w:t>
      </w:r>
    </w:p>
    <w:p w14:paraId="18842AE4">
      <w:pPr>
        <w:pStyle w:val="10"/>
        <w:ind w:firstLine="640"/>
      </w:pPr>
      <w:r>
        <w:t>3.1 </w:t>
      </w:r>
      <w:r>
        <w:rPr>
          <w:rFonts w:hint="eastAsia"/>
        </w:rPr>
        <w:t>预防</w:t>
      </w:r>
    </w:p>
    <w:p w14:paraId="6D9CB08E">
      <w:pPr>
        <w:ind w:firstLine="640"/>
        <w:rPr>
          <w:szCs w:val="32"/>
        </w:rPr>
      </w:pPr>
      <w:r>
        <w:rPr>
          <w:rFonts w:hint="eastAsia"/>
          <w:szCs w:val="32"/>
        </w:rPr>
        <w:t>各镇街、各部门、国有企事业单位要加强对工贸企业安全生产工作的管理和监督；督促落实安全生产责任制和企业安全标准化建设，严肃查处违法违规行为。</w:t>
      </w:r>
    </w:p>
    <w:p w14:paraId="5548631E">
      <w:pPr>
        <w:ind w:firstLine="640"/>
        <w:rPr>
          <w:szCs w:val="32"/>
        </w:rPr>
      </w:pPr>
      <w:r>
        <w:rPr>
          <w:rFonts w:hint="eastAsia"/>
          <w:szCs w:val="32"/>
        </w:rPr>
        <w:t>工贸企业要严格落实企业主体责任，制定、完善应急预案，配备相应的应急救援人员、器材、设施，定期开展应急演练和预案修订，建立健全并严格执行各项安全生产规章制度和操作规程，加强对重点部位和环节的安全运行监测，做好事故风险的识别和隐患排查整治。</w:t>
      </w:r>
    </w:p>
    <w:p w14:paraId="564CF223">
      <w:pPr>
        <w:pStyle w:val="10"/>
        <w:ind w:firstLine="640"/>
      </w:pPr>
      <w:r>
        <w:t>3.2 </w:t>
      </w:r>
      <w:r>
        <w:rPr>
          <w:rFonts w:hint="eastAsia"/>
        </w:rPr>
        <w:t>预警</w:t>
      </w:r>
    </w:p>
    <w:p w14:paraId="78C0032A">
      <w:pPr>
        <w:pStyle w:val="14"/>
        <w:ind w:firstLine="640"/>
      </w:pPr>
      <w:r>
        <w:t>3.2.1 </w:t>
      </w:r>
      <w:r>
        <w:rPr>
          <w:rFonts w:hint="eastAsia"/>
        </w:rPr>
        <w:t>预警监测</w:t>
      </w:r>
    </w:p>
    <w:p w14:paraId="21A11143">
      <w:pPr>
        <w:ind w:firstLine="640"/>
        <w:rPr>
          <w:szCs w:val="32"/>
        </w:rPr>
      </w:pPr>
      <w:r>
        <w:rPr>
          <w:rFonts w:hint="eastAsia"/>
          <w:szCs w:val="32"/>
        </w:rPr>
        <w:t>各行业部门要加强对工贸企业的监测监控，及时分析研判监测结果，预估可能造成的损失和影响，及时提出预警建议。生态环境保护、经济信息、市场监管、气象等有关部门要按照职能职责依法开展监测工作，及时将监测到的可能引发工贸事故的环境污染、气象灾害、中毒等有关信息通报应急管理部门和相关单位。</w:t>
      </w:r>
    </w:p>
    <w:p w14:paraId="46B72B58">
      <w:pPr>
        <w:pStyle w:val="14"/>
        <w:ind w:firstLine="640"/>
      </w:pPr>
      <w:r>
        <w:t>3.2.2 </w:t>
      </w:r>
      <w:r>
        <w:rPr>
          <w:rFonts w:hint="eastAsia"/>
        </w:rPr>
        <w:t>预警分级</w:t>
      </w:r>
    </w:p>
    <w:p w14:paraId="219729F3">
      <w:pPr>
        <w:ind w:firstLine="640"/>
        <w:rPr>
          <w:szCs w:val="32"/>
        </w:rPr>
      </w:pPr>
      <w:r>
        <w:rPr>
          <w:rFonts w:hint="eastAsia"/>
          <w:szCs w:val="32"/>
        </w:rPr>
        <w:t>当发生高温、暴雨、地震、地质灾害等自然灾害或其他情况可能导致工贸事故时，应向社会适时发布相关预警信息。</w:t>
      </w:r>
    </w:p>
    <w:p w14:paraId="41E90947">
      <w:pPr>
        <w:ind w:firstLine="640"/>
        <w:rPr>
          <w:szCs w:val="32"/>
        </w:rPr>
      </w:pPr>
      <w:r>
        <w:rPr>
          <w:rFonts w:hint="eastAsia"/>
          <w:szCs w:val="32"/>
        </w:rPr>
        <w:t>预警级别依据可能造成的危害程度、紧急程度和发展趋势由低到高分为Ⅳ级、Ⅲ级、Ⅱ级、Ⅰ级预警4个等级，分别用蓝色、黄色、橙色、红色标示，Ⅰ级为最高等级。</w:t>
      </w:r>
    </w:p>
    <w:p w14:paraId="55A0CE74">
      <w:pPr>
        <w:ind w:firstLine="640"/>
        <w:rPr>
          <w:szCs w:val="32"/>
        </w:rPr>
      </w:pPr>
      <w:r>
        <w:rPr>
          <w:rFonts w:hint="eastAsia"/>
          <w:szCs w:val="32"/>
        </w:rPr>
        <w:t>（1）Ⅳ级预警（蓝色）。存在重大安全隐患，有可能发生或引发事故时。</w:t>
      </w:r>
    </w:p>
    <w:p w14:paraId="23161D5A">
      <w:pPr>
        <w:ind w:firstLine="640"/>
        <w:rPr>
          <w:szCs w:val="32"/>
        </w:rPr>
      </w:pPr>
      <w:r>
        <w:rPr>
          <w:rFonts w:hint="eastAsia"/>
          <w:szCs w:val="32"/>
        </w:rPr>
        <w:t>（2）Ⅲ级预警（黄色）。情况比较紧急，有可能发生或引发较大事故时。</w:t>
      </w:r>
    </w:p>
    <w:p w14:paraId="5F28B98F">
      <w:pPr>
        <w:ind w:firstLine="640"/>
        <w:rPr>
          <w:szCs w:val="32"/>
        </w:rPr>
      </w:pPr>
      <w:r>
        <w:rPr>
          <w:rFonts w:hint="eastAsia"/>
          <w:szCs w:val="32"/>
        </w:rPr>
        <w:t>（3）Ⅱ级预警（橙色）。情况紧急，有可能发生或引发重大事故时。</w:t>
      </w:r>
    </w:p>
    <w:p w14:paraId="1D475C72">
      <w:pPr>
        <w:ind w:firstLine="640"/>
        <w:rPr>
          <w:szCs w:val="32"/>
        </w:rPr>
      </w:pPr>
      <w:r>
        <w:rPr>
          <w:rFonts w:hint="eastAsia"/>
          <w:szCs w:val="32"/>
        </w:rPr>
        <w:t>（4）Ⅰ级预警（红色）。情况危急，有可能发生或引发特别重大事故时。</w:t>
      </w:r>
    </w:p>
    <w:p w14:paraId="24C14E76">
      <w:pPr>
        <w:pStyle w:val="14"/>
        <w:ind w:firstLine="640"/>
      </w:pPr>
      <w:r>
        <w:t>3.2.3 </w:t>
      </w:r>
      <w:r>
        <w:rPr>
          <w:rFonts w:hint="eastAsia"/>
        </w:rPr>
        <w:t>预警发布</w:t>
      </w:r>
    </w:p>
    <w:p w14:paraId="530A65C1">
      <w:pPr>
        <w:ind w:firstLine="640"/>
        <w:rPr>
          <w:szCs w:val="32"/>
        </w:rPr>
      </w:pPr>
      <w:r>
        <w:rPr>
          <w:rFonts w:hint="eastAsia"/>
          <w:szCs w:val="32"/>
        </w:rPr>
        <w:t>（1）发布权限。Ⅳ级、Ⅲ级预警信息由管委会或其授权的部门和单位发布，并报市应急局备案；Ⅱ级、Ⅰ级预警信息由管委会提出预警级别建议并报市政府，由市政府决定预警级别并发布。</w:t>
      </w:r>
    </w:p>
    <w:p w14:paraId="2CA30398">
      <w:pPr>
        <w:ind w:firstLine="640"/>
        <w:rPr>
          <w:szCs w:val="32"/>
        </w:rPr>
      </w:pPr>
      <w:r>
        <w:rPr>
          <w:rFonts w:hint="eastAsia"/>
          <w:szCs w:val="32"/>
        </w:rPr>
        <w:t>（2）预警内容。预警信息内容应当明确具体，包括发布单位、发布时间、可能发生突发事件的类别、起始时间、可能影响范围、预警级别、警示事项、事态发展、相关措施、咨询电话等内容。</w:t>
      </w:r>
    </w:p>
    <w:p w14:paraId="1212CF87">
      <w:pPr>
        <w:ind w:firstLine="640"/>
        <w:rPr>
          <w:szCs w:val="32"/>
        </w:rPr>
      </w:pPr>
      <w:r>
        <w:rPr>
          <w:rFonts w:hint="eastAsia"/>
          <w:szCs w:val="32"/>
        </w:rPr>
        <w:t>（3）发布途径。预警信息应当通过电视、广播、报纸、网站、微博、微信、手机短信、电子屏幕、组织人员逐户通知等途径及时向公众发布。区融媒体中心、网站和通信运营单位应当及时、准确、无偿地向社会公众传播预警信息。</w:t>
      </w:r>
    </w:p>
    <w:p w14:paraId="3650CF6D">
      <w:pPr>
        <w:pStyle w:val="14"/>
        <w:ind w:firstLine="640"/>
      </w:pPr>
      <w:r>
        <w:t>3.2.4 </w:t>
      </w:r>
      <w:r>
        <w:rPr>
          <w:rFonts w:hint="eastAsia"/>
        </w:rPr>
        <w:t>预警行动</w:t>
      </w:r>
    </w:p>
    <w:p w14:paraId="4AAE6171">
      <w:pPr>
        <w:ind w:firstLine="640"/>
        <w:rPr>
          <w:szCs w:val="32"/>
        </w:rPr>
      </w:pPr>
      <w:r>
        <w:rPr>
          <w:rFonts w:hint="eastAsia"/>
          <w:szCs w:val="32"/>
        </w:rPr>
        <w:t>预警信息发布后，各镇街、管委会有关部门、国有企事业单位可以视情迅速采取以下措施：</w:t>
      </w:r>
    </w:p>
    <w:p w14:paraId="4014FCD3">
      <w:pPr>
        <w:ind w:firstLine="640"/>
        <w:rPr>
          <w:szCs w:val="32"/>
        </w:rPr>
      </w:pPr>
      <w:r>
        <w:rPr>
          <w:rFonts w:hint="eastAsia"/>
          <w:szCs w:val="32"/>
        </w:rPr>
        <w:t>（1）及时研判。组织有关部门、有关机构、有关专家对可能引发工贸行业生产安全事故的风险进行分析研判，预估可能的影响范围和危害程度，制定相应的防范应对措施。</w:t>
      </w:r>
    </w:p>
    <w:p w14:paraId="3A0B1F6F">
      <w:pPr>
        <w:ind w:firstLine="640"/>
        <w:rPr>
          <w:szCs w:val="32"/>
        </w:rPr>
      </w:pPr>
      <w:r>
        <w:rPr>
          <w:rFonts w:hint="eastAsia"/>
          <w:szCs w:val="32"/>
        </w:rPr>
        <w:t>（2）防范处置。根据具体情况在危险区域设置警示标志，利用各种渠道增加宣传频次，告知公众避险信息，控制事故范围和损害程度；提前疏散、转移可能受到危害的人员，并进行妥善安置；加强工贸企业安全巡查检查，必要时实施交通管制，封闭危险区域、路段，或要求车辆改道行驶。</w:t>
      </w:r>
    </w:p>
    <w:p w14:paraId="0B3217A1">
      <w:pPr>
        <w:ind w:firstLine="640"/>
        <w:rPr>
          <w:szCs w:val="32"/>
        </w:rPr>
      </w:pPr>
      <w:r>
        <w:rPr>
          <w:rFonts w:hint="eastAsia"/>
          <w:szCs w:val="32"/>
        </w:rPr>
        <w:t>（3）应急准备。责令应急救援队伍进入待命状态，并调集应急救援所需物资和设备，做好应急保障。</w:t>
      </w:r>
    </w:p>
    <w:p w14:paraId="19E776AB">
      <w:pPr>
        <w:ind w:firstLine="640"/>
        <w:rPr>
          <w:szCs w:val="32"/>
        </w:rPr>
      </w:pPr>
      <w:r>
        <w:rPr>
          <w:rFonts w:hint="eastAsia"/>
          <w:szCs w:val="32"/>
        </w:rPr>
        <w:t>（4）舆论引导。及时准备发布最新情况，加强舆情监测，做好舆论引导工作。</w:t>
      </w:r>
    </w:p>
    <w:p w14:paraId="0D2F1AE6">
      <w:pPr>
        <w:pStyle w:val="14"/>
        <w:ind w:firstLine="640"/>
      </w:pPr>
      <w:r>
        <w:t>3.2.5 </w:t>
      </w:r>
      <w:r>
        <w:rPr>
          <w:rFonts w:hint="eastAsia"/>
        </w:rPr>
        <w:t>预警调整和解除</w:t>
      </w:r>
    </w:p>
    <w:p w14:paraId="67559C8B">
      <w:pPr>
        <w:ind w:firstLine="640"/>
        <w:rPr>
          <w:szCs w:val="32"/>
        </w:rPr>
      </w:pPr>
      <w:r>
        <w:rPr>
          <w:rFonts w:hint="eastAsia"/>
          <w:szCs w:val="32"/>
        </w:rPr>
        <w:t>预警信息发布后，发布预警信息的单位应当加强信息收集、分析、研判，及时掌握事件发展态势和排险进展。当事件发展态势恶化，预警等级需要升级时，及时上报相关部门，由具有发布相应级别预警等级的机构及时对外发布。确定不可能发生事故或险情已经解除的，发布预警信息的单位应当及时宣布解除预警，终止相关预警措施。</w:t>
      </w:r>
    </w:p>
    <w:p w14:paraId="438D92CB">
      <w:pPr>
        <w:pStyle w:val="8"/>
        <w:ind w:firstLine="640"/>
      </w:pPr>
      <w:r>
        <w:t>4 </w:t>
      </w:r>
      <w:r>
        <w:rPr>
          <w:rFonts w:hint="eastAsia"/>
        </w:rPr>
        <w:t>应急响应</w:t>
      </w:r>
    </w:p>
    <w:p w14:paraId="6F4A223E">
      <w:pPr>
        <w:pStyle w:val="10"/>
        <w:ind w:firstLine="640"/>
      </w:pPr>
      <w:r>
        <w:t>4.1 </w:t>
      </w:r>
      <w:r>
        <w:rPr>
          <w:rFonts w:hint="eastAsia"/>
        </w:rPr>
        <w:t>信息报告</w:t>
      </w:r>
    </w:p>
    <w:p w14:paraId="331DD55F">
      <w:pPr>
        <w:pStyle w:val="14"/>
        <w:ind w:firstLine="640"/>
      </w:pPr>
      <w:r>
        <w:t>4.1.1 </w:t>
      </w:r>
      <w:r>
        <w:rPr>
          <w:rFonts w:hint="eastAsia"/>
        </w:rPr>
        <w:t>报送程序</w:t>
      </w:r>
    </w:p>
    <w:p w14:paraId="5BA06C5C">
      <w:pPr>
        <w:ind w:firstLine="640"/>
        <w:rPr>
          <w:szCs w:val="32"/>
        </w:rPr>
      </w:pPr>
      <w:r>
        <w:rPr>
          <w:rFonts w:hint="eastAsia"/>
          <w:szCs w:val="32"/>
        </w:rPr>
        <w:t>工贸行业生产安全事故发生后，事发地镇街、国有企事业单位应当立即核实有关情况，在15分钟内向管委会总值班室、改革发展局、应急管理局电话报告，30分钟内书面报告，不得迟报、谎报、瞒报和漏报，涉及火灾、爆炸、泄漏等可能导致环境污染的同步报告生态环境局。经总值班室研判并党工委、管委会同意后，分别向市委总值班室、市政府总值班室、市经济信息委、市商务委、市应急管理局报告。</w:t>
      </w:r>
    </w:p>
    <w:p w14:paraId="00E4874F">
      <w:pPr>
        <w:ind w:firstLine="640"/>
        <w:rPr>
          <w:szCs w:val="32"/>
        </w:rPr>
      </w:pPr>
      <w:r>
        <w:rPr>
          <w:rFonts w:hint="eastAsia"/>
          <w:szCs w:val="32"/>
        </w:rPr>
        <w:t>对首报时要素不齐全或事件衍生出新情况、处置工作有新进展的，要及时续报，较大、重大、特别重大工贸行业生产安全事故的处置信息至少每日报送一次，处置结束后要及时终报。</w:t>
      </w:r>
    </w:p>
    <w:p w14:paraId="5381D54C">
      <w:pPr>
        <w:pStyle w:val="14"/>
        <w:ind w:firstLine="640"/>
      </w:pPr>
      <w:r>
        <w:t>4.1.2 </w:t>
      </w:r>
      <w:r>
        <w:rPr>
          <w:rFonts w:hint="eastAsia"/>
        </w:rPr>
        <w:t>信息内容</w:t>
      </w:r>
    </w:p>
    <w:p w14:paraId="4BD342C9">
      <w:pPr>
        <w:ind w:firstLine="640"/>
        <w:rPr>
          <w:szCs w:val="32"/>
        </w:rPr>
      </w:pPr>
      <w:r>
        <w:rPr>
          <w:rFonts w:hint="eastAsia"/>
          <w:szCs w:val="32"/>
        </w:rPr>
        <w:t>报告主要内容包括：事故发生时间、地点，负责现场指挥的主要人员姓名、职务和联系方式，事故基本情况、初步原因、初判等级，事故简要经过、直接经济损失、伤亡及被困人数、发展趋势评估，伤亡人员抢救情况、已采取的处置措施及进展，是否需要增援，报告人姓名、职务、联系方式等内容。</w:t>
      </w:r>
    </w:p>
    <w:p w14:paraId="30E3E9CF">
      <w:pPr>
        <w:pStyle w:val="10"/>
        <w:ind w:firstLine="640"/>
      </w:pPr>
      <w:r>
        <w:t>4.2 </w:t>
      </w:r>
      <w:r>
        <w:rPr>
          <w:rFonts w:hint="eastAsia"/>
        </w:rPr>
        <w:t>先期处置</w:t>
      </w:r>
    </w:p>
    <w:p w14:paraId="1D9AABEC">
      <w:pPr>
        <w:ind w:firstLine="640"/>
        <w:rPr>
          <w:szCs w:val="32"/>
        </w:rPr>
      </w:pPr>
      <w:r>
        <w:rPr>
          <w:rFonts w:hint="eastAsia"/>
          <w:szCs w:val="32"/>
        </w:rPr>
        <w:t>（1）事发单位要立即组织本单位应急队伍和人员营救受害人员，疏散、撤离、安置受危险人员；控制危险源，标明危险区域，封锁危险场所，并采取其他防止危害扩大的必要措施；向事发地镇街、国有企事业单位会及其有关部门报告。</w:t>
      </w:r>
    </w:p>
    <w:p w14:paraId="54D0D8DE">
      <w:pPr>
        <w:ind w:firstLine="640"/>
        <w:rPr>
          <w:szCs w:val="32"/>
        </w:rPr>
      </w:pPr>
      <w:r>
        <w:rPr>
          <w:rFonts w:hint="eastAsia"/>
          <w:szCs w:val="32"/>
        </w:rPr>
        <w:t>（2）事发地镇街、国有企事业单位以及村（居）委会等基层组织应积极配合，协助做好现场保护、道路引领、秩序维护等工作。</w:t>
      </w:r>
    </w:p>
    <w:p w14:paraId="2BF99C10">
      <w:pPr>
        <w:ind w:firstLine="640"/>
        <w:rPr>
          <w:szCs w:val="32"/>
        </w:rPr>
      </w:pPr>
      <w:r>
        <w:rPr>
          <w:rFonts w:hint="eastAsia"/>
          <w:szCs w:val="32"/>
        </w:rPr>
        <w:t>（3）事发地镇街、国有企事业单位组织应急队伍，采取措施控制事态发展，开展应急处置与救援工作，并及时向管委会总值班室、改革发展局、应急管理局及有关部门报告。</w:t>
      </w:r>
    </w:p>
    <w:p w14:paraId="028FDA43">
      <w:pPr>
        <w:pStyle w:val="10"/>
        <w:ind w:firstLine="640"/>
      </w:pPr>
      <w:r>
        <w:t>4.3 </w:t>
      </w:r>
      <w:r>
        <w:rPr>
          <w:rFonts w:hint="eastAsia"/>
        </w:rPr>
        <w:t>分级响应</w:t>
      </w:r>
    </w:p>
    <w:p w14:paraId="0601019B">
      <w:pPr>
        <w:ind w:firstLine="640"/>
        <w:rPr>
          <w:szCs w:val="32"/>
        </w:rPr>
      </w:pPr>
      <w:r>
        <w:rPr>
          <w:rFonts w:hint="eastAsia"/>
          <w:szCs w:val="32"/>
        </w:rPr>
        <w:t>工贸行业生产安全事故应急响应等级根据事故态势和险情可能造成的危害后果由高到低划分为四级：Ⅳ级、Ⅲ级、Ⅱ级、Ⅰ级。</w:t>
      </w:r>
    </w:p>
    <w:p w14:paraId="4F79A11D">
      <w:pPr>
        <w:ind w:firstLine="640"/>
        <w:rPr>
          <w:szCs w:val="32"/>
        </w:rPr>
      </w:pPr>
      <w:r>
        <w:rPr>
          <w:rFonts w:hint="eastAsia"/>
          <w:szCs w:val="32"/>
        </w:rPr>
        <w:t>工贸行业生产安全事故的应急响应等级与实际级别密切相关，但要根据实际情况确定。响应等级一般由低向高递升，出现紧急情况和严重态势时，可直接提高相应等级。当工贸行业生产安全事故发生在重要地段、重大节假日、重大活动和重要会议期间，根据实际情况提高应急响应等级。</w:t>
      </w:r>
    </w:p>
    <w:p w14:paraId="61CA9DDB">
      <w:pPr>
        <w:pStyle w:val="14"/>
        <w:ind w:firstLine="640"/>
      </w:pPr>
      <w:r>
        <w:t>4.3.1 </w:t>
      </w:r>
      <w:r>
        <w:rPr>
          <w:rFonts w:hint="eastAsia"/>
        </w:rPr>
        <w:t>Ⅳ级响应</w:t>
      </w:r>
    </w:p>
    <w:p w14:paraId="49420A33">
      <w:pPr>
        <w:ind w:firstLine="640"/>
        <w:rPr>
          <w:szCs w:val="32"/>
        </w:rPr>
      </w:pPr>
      <w:r>
        <w:rPr>
          <w:rFonts w:hint="eastAsia"/>
          <w:szCs w:val="32"/>
        </w:rPr>
        <w:t>1.启动条件</w:t>
      </w:r>
    </w:p>
    <w:p w14:paraId="2B9E6A7D">
      <w:pPr>
        <w:ind w:firstLine="640"/>
        <w:rPr>
          <w:szCs w:val="32"/>
        </w:rPr>
      </w:pPr>
      <w:r>
        <w:rPr>
          <w:rFonts w:hint="eastAsia"/>
          <w:szCs w:val="32"/>
        </w:rPr>
        <w:t>发生一般事故，事发地镇街、国有企事业单位无法处置，需区级部门支援。</w:t>
      </w:r>
    </w:p>
    <w:p w14:paraId="1A6F54C2">
      <w:pPr>
        <w:ind w:firstLine="640"/>
        <w:rPr>
          <w:szCs w:val="32"/>
        </w:rPr>
      </w:pPr>
      <w:r>
        <w:rPr>
          <w:rFonts w:hint="eastAsia"/>
          <w:szCs w:val="32"/>
        </w:rPr>
        <w:t>2.响应程序</w:t>
      </w:r>
    </w:p>
    <w:p w14:paraId="49BFC86F">
      <w:pPr>
        <w:ind w:firstLine="640"/>
        <w:rPr>
          <w:szCs w:val="32"/>
        </w:rPr>
      </w:pPr>
      <w:r>
        <w:rPr>
          <w:rFonts w:hint="eastAsia"/>
          <w:szCs w:val="32"/>
        </w:rPr>
        <w:t>由事发地镇街、国有企事业将事故情况报专委会，经研判后报专委会主任同意后启动Ⅳ级应急响应。</w:t>
      </w:r>
    </w:p>
    <w:p w14:paraId="258C0E3B">
      <w:pPr>
        <w:ind w:firstLine="640"/>
        <w:rPr>
          <w:szCs w:val="32"/>
        </w:rPr>
      </w:pPr>
      <w:r>
        <w:rPr>
          <w:rFonts w:hint="eastAsia"/>
          <w:szCs w:val="32"/>
        </w:rPr>
        <w:t>3.响应措施</w:t>
      </w:r>
    </w:p>
    <w:p w14:paraId="6407C1A0">
      <w:pPr>
        <w:ind w:firstLine="640"/>
        <w:rPr>
          <w:szCs w:val="32"/>
        </w:rPr>
      </w:pPr>
      <w:r>
        <w:rPr>
          <w:rFonts w:hint="eastAsia"/>
          <w:szCs w:val="32"/>
        </w:rPr>
        <w:t>应急管理局、改革发展局组成联合工作组赶赴事发地镇街、国有企事业单位，现场指导、协调应急处置工作。</w:t>
      </w:r>
    </w:p>
    <w:p w14:paraId="2F3D822B">
      <w:pPr>
        <w:pStyle w:val="14"/>
        <w:ind w:firstLine="640"/>
      </w:pPr>
      <w:r>
        <w:t>4.3.2 </w:t>
      </w:r>
      <w:r>
        <w:rPr>
          <w:rFonts w:hint="eastAsia"/>
        </w:rPr>
        <w:t>Ⅲ级响应</w:t>
      </w:r>
    </w:p>
    <w:p w14:paraId="21AB4AEA">
      <w:pPr>
        <w:ind w:firstLine="640"/>
        <w:rPr>
          <w:szCs w:val="32"/>
        </w:rPr>
      </w:pPr>
      <w:r>
        <w:rPr>
          <w:rFonts w:hint="eastAsia"/>
          <w:szCs w:val="32"/>
        </w:rPr>
        <w:t>1.启动条件</w:t>
      </w:r>
    </w:p>
    <w:p w14:paraId="50DB723C">
      <w:pPr>
        <w:ind w:firstLine="640"/>
        <w:rPr>
          <w:szCs w:val="32"/>
        </w:rPr>
      </w:pPr>
      <w:r>
        <w:rPr>
          <w:rFonts w:hint="eastAsia"/>
          <w:szCs w:val="32"/>
        </w:rPr>
        <w:t>发生较大事故，需管委会层面现场协调处置；发生一般事故，可能产生较大社会影响，对周边群众生命财产安全造成威胁。</w:t>
      </w:r>
    </w:p>
    <w:p w14:paraId="78D376A1">
      <w:pPr>
        <w:ind w:firstLine="640"/>
        <w:rPr>
          <w:szCs w:val="32"/>
        </w:rPr>
      </w:pPr>
      <w:r>
        <w:rPr>
          <w:rFonts w:hint="eastAsia"/>
          <w:szCs w:val="32"/>
        </w:rPr>
        <w:t>2.响应程序</w:t>
      </w:r>
    </w:p>
    <w:p w14:paraId="3AC71A4C">
      <w:pPr>
        <w:ind w:firstLine="640"/>
        <w:rPr>
          <w:szCs w:val="32"/>
        </w:rPr>
      </w:pPr>
      <w:r>
        <w:rPr>
          <w:rFonts w:hint="eastAsia"/>
          <w:szCs w:val="32"/>
        </w:rPr>
        <w:t>由事发地镇街、国有企事业将事故情况报专委会，专委会核实后报区安委会，经研判后报安委会副主任同意后启动Ⅲ级应急响应。</w:t>
      </w:r>
    </w:p>
    <w:p w14:paraId="5651BC3D">
      <w:pPr>
        <w:ind w:firstLine="640"/>
        <w:rPr>
          <w:szCs w:val="32"/>
        </w:rPr>
      </w:pPr>
      <w:r>
        <w:rPr>
          <w:rFonts w:hint="eastAsia"/>
          <w:szCs w:val="32"/>
        </w:rPr>
        <w:t>3.响应措施</w:t>
      </w:r>
    </w:p>
    <w:p w14:paraId="0D91DD77">
      <w:pPr>
        <w:ind w:firstLine="640"/>
        <w:rPr>
          <w:szCs w:val="32"/>
        </w:rPr>
      </w:pPr>
      <w:r>
        <w:rPr>
          <w:rFonts w:hint="eastAsia"/>
          <w:szCs w:val="32"/>
        </w:rPr>
        <w:t>（1）成立重庆高新区工贸行业生产安全事故现场指挥部，由管委会分管领导担任现场指挥长，办公室副主任、改革发展局局长、应急管理局局长任副指挥长。</w:t>
      </w:r>
    </w:p>
    <w:p w14:paraId="70E7C335">
      <w:pPr>
        <w:ind w:firstLine="640"/>
        <w:rPr>
          <w:szCs w:val="32"/>
        </w:rPr>
      </w:pPr>
      <w:r>
        <w:rPr>
          <w:rFonts w:hint="eastAsia"/>
          <w:szCs w:val="32"/>
        </w:rPr>
        <w:t>（2）发布响应指令，通知成员单位赶赴现场，调集区专业应急救援队伍、消防救援队伍和专家赶赴现场。</w:t>
      </w:r>
    </w:p>
    <w:p w14:paraId="7FAB3F32">
      <w:pPr>
        <w:ind w:firstLine="640"/>
        <w:rPr>
          <w:szCs w:val="32"/>
        </w:rPr>
      </w:pPr>
      <w:r>
        <w:rPr>
          <w:rFonts w:hint="eastAsia"/>
          <w:szCs w:val="32"/>
        </w:rPr>
        <w:t>（3）根据实际情况和专家建议，提出交通管制、疏散范围和停供水、电、气源范围等建议。</w:t>
      </w:r>
    </w:p>
    <w:p w14:paraId="20C9E100">
      <w:pPr>
        <w:ind w:firstLine="640"/>
        <w:rPr>
          <w:szCs w:val="32"/>
        </w:rPr>
      </w:pPr>
      <w:r>
        <w:rPr>
          <w:rFonts w:hint="eastAsia"/>
          <w:szCs w:val="32"/>
        </w:rPr>
        <w:t>（4）疏散可能受影响范围的群众，对事故现场实施警戒，除救援人员外，严禁人员进入。根据需要停供事故现场的水、电、气源。</w:t>
      </w:r>
    </w:p>
    <w:p w14:paraId="6DDF9F3F">
      <w:pPr>
        <w:ind w:firstLine="640"/>
        <w:rPr>
          <w:szCs w:val="32"/>
        </w:rPr>
      </w:pPr>
      <w:r>
        <w:rPr>
          <w:rFonts w:hint="eastAsia"/>
          <w:szCs w:val="32"/>
        </w:rPr>
        <w:t>（5）制定救援实施方案，下达救援指令，根据需要和救援工作进展情况，及时调整救援方案。各有关成员单位、消防救援队伍、区专业应急救援队和专家根据救援实施方案，按照各自的职责分工，开展救援工作。</w:t>
      </w:r>
    </w:p>
    <w:p w14:paraId="6FA88BEF">
      <w:pPr>
        <w:ind w:firstLine="640"/>
        <w:rPr>
          <w:szCs w:val="32"/>
        </w:rPr>
      </w:pPr>
      <w:r>
        <w:rPr>
          <w:rFonts w:hint="eastAsia"/>
          <w:szCs w:val="32"/>
        </w:rPr>
        <w:t>（6）救治受伤人员，组织安抚遇险人员和遇险遇难人员亲属。</w:t>
      </w:r>
    </w:p>
    <w:p w14:paraId="7A00E92D">
      <w:pPr>
        <w:ind w:firstLine="640"/>
        <w:rPr>
          <w:szCs w:val="32"/>
        </w:rPr>
      </w:pPr>
      <w:r>
        <w:rPr>
          <w:rFonts w:hint="eastAsia"/>
          <w:szCs w:val="32"/>
        </w:rPr>
        <w:t>（7）各相关部门应严格保护现场，凡与事故有关的物体、痕迹、状态不得随意挪动和破坏。妥善保存现场重要痕迹、书证、物证等证据，做好事故现场保护。</w:t>
      </w:r>
    </w:p>
    <w:p w14:paraId="71B54DBE">
      <w:pPr>
        <w:ind w:firstLine="640"/>
        <w:rPr>
          <w:szCs w:val="32"/>
        </w:rPr>
      </w:pPr>
      <w:r>
        <w:rPr>
          <w:rFonts w:hint="eastAsia"/>
          <w:szCs w:val="32"/>
        </w:rPr>
        <w:t>4.处置措施</w:t>
      </w:r>
    </w:p>
    <w:p w14:paraId="6090EE20">
      <w:pPr>
        <w:ind w:firstLine="640"/>
        <w:rPr>
          <w:szCs w:val="32"/>
        </w:rPr>
      </w:pPr>
      <w:r>
        <w:rPr>
          <w:rFonts w:hint="eastAsia"/>
          <w:szCs w:val="32"/>
        </w:rPr>
        <w:t>（1）组织搜救遇险人员，救治受伤人员，研判事故发展趋势以及可能造成的危害；</w:t>
      </w:r>
    </w:p>
    <w:p w14:paraId="72F92F15">
      <w:pPr>
        <w:ind w:firstLine="640"/>
        <w:rPr>
          <w:szCs w:val="32"/>
        </w:rPr>
      </w:pPr>
      <w:r>
        <w:rPr>
          <w:rFonts w:hint="eastAsia"/>
          <w:szCs w:val="32"/>
        </w:rPr>
        <w:t>（2）通知可能受到事故影响的单位和人员，隔离事故现场，划定警戒区域，疏散受到威胁的人员，实施交通管制；</w:t>
      </w:r>
    </w:p>
    <w:p w14:paraId="4A79475A">
      <w:pPr>
        <w:ind w:firstLine="640"/>
        <w:rPr>
          <w:szCs w:val="32"/>
        </w:rPr>
      </w:pPr>
      <w:r>
        <w:rPr>
          <w:rFonts w:hint="eastAsia"/>
          <w:szCs w:val="32"/>
        </w:rPr>
        <w:t>（3）采取拦截、导流、疏浚等方式，避免或者减少事故对环境造成的危害；</w:t>
      </w:r>
    </w:p>
    <w:p w14:paraId="45DFC2AB">
      <w:pPr>
        <w:ind w:firstLine="640"/>
        <w:rPr>
          <w:szCs w:val="32"/>
        </w:rPr>
      </w:pPr>
      <w:r>
        <w:rPr>
          <w:rFonts w:hint="eastAsia"/>
          <w:szCs w:val="32"/>
        </w:rPr>
        <w:t>（4）向应急救援队伍下达救援命令；</w:t>
      </w:r>
    </w:p>
    <w:p w14:paraId="45E4C7DC">
      <w:pPr>
        <w:ind w:firstLine="640"/>
        <w:rPr>
          <w:szCs w:val="32"/>
        </w:rPr>
      </w:pPr>
      <w:r>
        <w:rPr>
          <w:rFonts w:hint="eastAsia"/>
          <w:szCs w:val="32"/>
        </w:rPr>
        <w:t>（5）维护事故现场秩序，组织安抚遇险人员和遇险遇难人员亲属。</w:t>
      </w:r>
    </w:p>
    <w:p w14:paraId="24BA10EB">
      <w:pPr>
        <w:pStyle w:val="14"/>
        <w:ind w:firstLine="640"/>
      </w:pPr>
      <w:r>
        <w:t>4.3.3 </w:t>
      </w:r>
      <w:r>
        <w:rPr>
          <w:rFonts w:hint="eastAsia"/>
        </w:rPr>
        <w:t>Ⅱ级、Ⅰ级响应</w:t>
      </w:r>
    </w:p>
    <w:p w14:paraId="0C55F4ED">
      <w:pPr>
        <w:ind w:firstLine="640"/>
        <w:rPr>
          <w:szCs w:val="32"/>
        </w:rPr>
      </w:pPr>
      <w:r>
        <w:rPr>
          <w:rFonts w:hint="eastAsia"/>
          <w:szCs w:val="32"/>
        </w:rPr>
        <w:t>发生重大、特别重大事故，由事发地镇街、国有企事业将事故情况报专委会，专委会核实后报区安委会，经安委会主任同意后报市政府总值班室、市经济信息委、市应急管理局，做好先期处置工作，由市政府负责应对工作，待市级指挥部成立后移交现场指挥权。</w:t>
      </w:r>
    </w:p>
    <w:p w14:paraId="6D5C9794">
      <w:pPr>
        <w:pStyle w:val="10"/>
        <w:ind w:firstLine="640"/>
      </w:pPr>
      <w:r>
        <w:t>4.4 </w:t>
      </w:r>
      <w:r>
        <w:rPr>
          <w:rFonts w:hint="eastAsia"/>
        </w:rPr>
        <w:t>响应级别调整</w:t>
      </w:r>
    </w:p>
    <w:p w14:paraId="67C4E991">
      <w:pPr>
        <w:ind w:firstLine="640"/>
        <w:rPr>
          <w:szCs w:val="32"/>
        </w:rPr>
      </w:pPr>
      <w:r>
        <w:rPr>
          <w:rFonts w:hint="eastAsia"/>
          <w:szCs w:val="32"/>
        </w:rPr>
        <w:t>当事故影响范围、处置难度等发生变化，预计依靠重庆高新区现有应急资源和人力难以实施有效处置时，应向市人民政府、市应急管理局请求支援，协调相关单位、周边相关区县参与处置工作。</w:t>
      </w:r>
    </w:p>
    <w:p w14:paraId="4C272106">
      <w:pPr>
        <w:pStyle w:val="10"/>
        <w:ind w:firstLine="640"/>
      </w:pPr>
      <w:r>
        <w:t>4.5 </w:t>
      </w:r>
      <w:r>
        <w:rPr>
          <w:rFonts w:hint="eastAsia"/>
        </w:rPr>
        <w:t>应急结束</w:t>
      </w:r>
    </w:p>
    <w:p w14:paraId="700C5C7B">
      <w:pPr>
        <w:ind w:firstLine="640"/>
        <w:rPr>
          <w:szCs w:val="32"/>
        </w:rPr>
      </w:pPr>
      <w:r>
        <w:rPr>
          <w:rFonts w:hint="eastAsia"/>
          <w:szCs w:val="32"/>
        </w:rPr>
        <w:t>事故现场得以控制，并符合相关安全要求，经相应级别的应急指挥部批准后，现场应急结束。</w:t>
      </w:r>
    </w:p>
    <w:p w14:paraId="4AF6D82E">
      <w:pPr>
        <w:ind w:firstLine="640"/>
        <w:rPr>
          <w:szCs w:val="32"/>
        </w:rPr>
      </w:pPr>
      <w:r>
        <w:rPr>
          <w:rFonts w:hint="eastAsia"/>
          <w:szCs w:val="32"/>
        </w:rPr>
        <w:t>较大、一般事故应急响应的终止，由区应急指挥部决定。</w:t>
      </w:r>
    </w:p>
    <w:p w14:paraId="4B357D70">
      <w:pPr>
        <w:ind w:firstLine="640"/>
        <w:rPr>
          <w:szCs w:val="32"/>
        </w:rPr>
      </w:pPr>
      <w:r>
        <w:rPr>
          <w:rFonts w:hint="eastAsia"/>
          <w:szCs w:val="32"/>
        </w:rPr>
        <w:t>特别重大、重大事故处置结束，由上级指挥部决定。</w:t>
      </w:r>
    </w:p>
    <w:p w14:paraId="4735C83D">
      <w:pPr>
        <w:pStyle w:val="10"/>
        <w:ind w:firstLine="640"/>
      </w:pPr>
      <w:r>
        <w:t>4.6 </w:t>
      </w:r>
      <w:r>
        <w:rPr>
          <w:rFonts w:hint="eastAsia"/>
        </w:rPr>
        <w:t>信息发布</w:t>
      </w:r>
    </w:p>
    <w:p w14:paraId="0DFA5D08">
      <w:pPr>
        <w:ind w:firstLine="640"/>
        <w:rPr>
          <w:szCs w:val="32"/>
        </w:rPr>
      </w:pPr>
      <w:r>
        <w:rPr>
          <w:rFonts w:hint="eastAsia"/>
          <w:szCs w:val="32"/>
        </w:rPr>
        <w:t>一般、较大工贸行业生产安全事故，由现场指挥部舆情导控组统筹信息发布，根据管委会信息发布工作有关规定真实、客观、及时地发布应急处置信息。重大及以上工贸行业生产安全事故信息发布由市级指挥部发布。</w:t>
      </w:r>
    </w:p>
    <w:p w14:paraId="7D5A0FC2">
      <w:pPr>
        <w:pStyle w:val="8"/>
        <w:ind w:firstLine="640"/>
      </w:pPr>
      <w:r>
        <w:t>5 </w:t>
      </w:r>
      <w:r>
        <w:rPr>
          <w:rFonts w:hint="eastAsia"/>
        </w:rPr>
        <w:t>后期处置</w:t>
      </w:r>
    </w:p>
    <w:p w14:paraId="02282071">
      <w:pPr>
        <w:pStyle w:val="10"/>
        <w:ind w:firstLine="640"/>
      </w:pPr>
      <w:r>
        <w:t>5.1 </w:t>
      </w:r>
      <w:r>
        <w:rPr>
          <w:rFonts w:hint="eastAsia"/>
        </w:rPr>
        <w:t>善后处置</w:t>
      </w:r>
    </w:p>
    <w:p w14:paraId="3D797898">
      <w:pPr>
        <w:ind w:firstLine="640"/>
        <w:rPr>
          <w:szCs w:val="32"/>
        </w:rPr>
      </w:pPr>
      <w:r>
        <w:rPr>
          <w:rFonts w:hint="eastAsia"/>
          <w:szCs w:val="32"/>
        </w:rPr>
        <w:t>事发地镇街、管委会有关部门要及时制定补助、补偿、抚慰、抚恤、安置、重建以及环境后续监测、医疗防疫、污染防治、恢复等善后工作方案，并组织实施。协调保险机构及时开展相关理赔工作。</w:t>
      </w:r>
    </w:p>
    <w:p w14:paraId="61E32D6F">
      <w:pPr>
        <w:pStyle w:val="10"/>
        <w:ind w:firstLine="640"/>
      </w:pPr>
      <w:r>
        <w:t>5.2 </w:t>
      </w:r>
      <w:r>
        <w:rPr>
          <w:rFonts w:hint="eastAsia"/>
        </w:rPr>
        <w:t>秩序恢复</w:t>
      </w:r>
    </w:p>
    <w:p w14:paraId="5913848D">
      <w:pPr>
        <w:ind w:firstLine="640"/>
        <w:rPr>
          <w:szCs w:val="32"/>
        </w:rPr>
      </w:pPr>
      <w:r>
        <w:rPr>
          <w:rFonts w:hint="eastAsia"/>
          <w:szCs w:val="32"/>
        </w:rPr>
        <w:t>应急处置结束后，事发地镇街以及有关部门负责做好事发单位及受影响群众的生产、生活秩序。</w:t>
      </w:r>
    </w:p>
    <w:p w14:paraId="2EE521C0">
      <w:pPr>
        <w:pStyle w:val="10"/>
        <w:ind w:firstLine="640"/>
      </w:pPr>
      <w:r>
        <w:t>5.3 </w:t>
      </w:r>
      <w:r>
        <w:rPr>
          <w:rFonts w:hint="eastAsia"/>
        </w:rPr>
        <w:t>事故调查</w:t>
      </w:r>
    </w:p>
    <w:p w14:paraId="11FDD93B">
      <w:pPr>
        <w:ind w:firstLine="640"/>
        <w:rPr>
          <w:szCs w:val="32"/>
        </w:rPr>
      </w:pPr>
      <w:r>
        <w:rPr>
          <w:rFonts w:hint="eastAsia"/>
          <w:szCs w:val="32"/>
        </w:rPr>
        <w:t>按照《生产安全事故报告和调查处理条例》等有关规定成立调查组，查明事故经过、原因、性质、人员伤亡、经济损失等情况，确定事故责任，提出处理建议和防范整改措施，形成调查报告。</w:t>
      </w:r>
    </w:p>
    <w:p w14:paraId="569BEA6E">
      <w:pPr>
        <w:pStyle w:val="10"/>
        <w:ind w:firstLine="640"/>
      </w:pPr>
      <w:r>
        <w:t>5.4 </w:t>
      </w:r>
      <w:r>
        <w:rPr>
          <w:rFonts w:hint="eastAsia"/>
        </w:rPr>
        <w:t>总结评估</w:t>
      </w:r>
    </w:p>
    <w:p w14:paraId="31D9BBCC">
      <w:pPr>
        <w:ind w:firstLine="640"/>
        <w:rPr>
          <w:szCs w:val="32"/>
        </w:rPr>
      </w:pPr>
      <w:r>
        <w:rPr>
          <w:rFonts w:hint="eastAsia"/>
          <w:szCs w:val="32"/>
        </w:rPr>
        <w:t>事故应急处置工作结束后，专委会组织对事故处置过程进行评估，总结经验教训，分析查找问题，提出改进措施，形成总结评估报告。</w:t>
      </w:r>
    </w:p>
    <w:p w14:paraId="51BE3D0F">
      <w:pPr>
        <w:pStyle w:val="8"/>
        <w:ind w:firstLine="640"/>
      </w:pPr>
      <w:r>
        <w:t>6 </w:t>
      </w:r>
      <w:r>
        <w:rPr>
          <w:rFonts w:hint="eastAsia"/>
        </w:rPr>
        <w:t>保障措施</w:t>
      </w:r>
    </w:p>
    <w:p w14:paraId="53334BEE">
      <w:pPr>
        <w:pStyle w:val="10"/>
        <w:ind w:firstLine="640"/>
      </w:pPr>
      <w:r>
        <w:t>6.1 </w:t>
      </w:r>
      <w:r>
        <w:rPr>
          <w:rFonts w:hint="eastAsia"/>
        </w:rPr>
        <w:t>队伍保障</w:t>
      </w:r>
    </w:p>
    <w:p w14:paraId="5D54D522">
      <w:pPr>
        <w:ind w:firstLine="640"/>
        <w:rPr>
          <w:szCs w:val="32"/>
        </w:rPr>
      </w:pPr>
      <w:r>
        <w:rPr>
          <w:rFonts w:hint="eastAsia"/>
          <w:szCs w:val="32"/>
        </w:rPr>
        <w:t>国家综合性消防救援队伍、区专业应急救援队、各行业部门专业救援队伍等队伍是事故应急救援的主要力量，镇街应急救援队伍、企业应急救援队伍是事故应急救援的辅助力量。各镇街、各部门、国有企事业单位要加强应急救援队伍建设。</w:t>
      </w:r>
    </w:p>
    <w:p w14:paraId="4EFC8CE0">
      <w:pPr>
        <w:ind w:firstLine="640"/>
        <w:rPr>
          <w:szCs w:val="32"/>
        </w:rPr>
      </w:pPr>
      <w:r>
        <w:rPr>
          <w:rFonts w:hint="eastAsia"/>
          <w:szCs w:val="32"/>
        </w:rPr>
        <w:t>利用应急救援专家库，充分发挥专业救援力量和专家专业知识。</w:t>
      </w:r>
    </w:p>
    <w:p w14:paraId="07B3E3BD">
      <w:pPr>
        <w:pStyle w:val="10"/>
        <w:ind w:firstLine="640"/>
      </w:pPr>
      <w:r>
        <w:t>6.2 </w:t>
      </w:r>
      <w:r>
        <w:rPr>
          <w:rFonts w:hint="eastAsia"/>
        </w:rPr>
        <w:t>物资保障</w:t>
      </w:r>
    </w:p>
    <w:p w14:paraId="650930D4">
      <w:pPr>
        <w:ind w:firstLine="640"/>
        <w:rPr>
          <w:szCs w:val="32"/>
        </w:rPr>
      </w:pPr>
      <w:r>
        <w:rPr>
          <w:rFonts w:hint="eastAsia"/>
          <w:szCs w:val="32"/>
        </w:rPr>
        <w:t>国家综合性消防救援队伍、区专业应急救援队、各行业部门专业救援队伍、镇街应急救援队伍应按标准配齐应急救援装备和防护装备。应急管理局、改革发展局等应急物资储备重点部门和事发地镇街应做好应急物资保障。</w:t>
      </w:r>
    </w:p>
    <w:p w14:paraId="28EC6351">
      <w:pPr>
        <w:pStyle w:val="10"/>
        <w:ind w:firstLine="640"/>
      </w:pPr>
      <w:r>
        <w:t>6.3 </w:t>
      </w:r>
      <w:r>
        <w:rPr>
          <w:rFonts w:hint="eastAsia"/>
        </w:rPr>
        <w:t>通信保障</w:t>
      </w:r>
    </w:p>
    <w:p w14:paraId="3B420076">
      <w:pPr>
        <w:ind w:firstLine="640"/>
        <w:rPr>
          <w:szCs w:val="32"/>
        </w:rPr>
      </w:pPr>
      <w:r>
        <w:rPr>
          <w:rFonts w:hint="eastAsia"/>
          <w:szCs w:val="32"/>
        </w:rPr>
        <w:t>各镇街、各部门要不断建立健全应急通信保障体系，明确与应急工作相关联的单位或人员通信联系方式和方法，建立应急通信系统，并提供备用方案，确保信息通畅。</w:t>
      </w:r>
    </w:p>
    <w:p w14:paraId="2ED4FCC4">
      <w:pPr>
        <w:pStyle w:val="10"/>
        <w:ind w:firstLine="640"/>
      </w:pPr>
      <w:r>
        <w:t>6.4 </w:t>
      </w:r>
      <w:r>
        <w:rPr>
          <w:rFonts w:hint="eastAsia"/>
        </w:rPr>
        <w:t>资金保障</w:t>
      </w:r>
    </w:p>
    <w:p w14:paraId="1139677C">
      <w:pPr>
        <w:ind w:firstLine="640"/>
        <w:rPr>
          <w:szCs w:val="32"/>
        </w:rPr>
      </w:pPr>
      <w:r>
        <w:rPr>
          <w:rFonts w:hint="eastAsia"/>
          <w:szCs w:val="32"/>
        </w:rPr>
        <w:t>财政局要对工贸行业生产安全事故应急处置工作提供应急处置后期处置的资金保障。</w:t>
      </w:r>
    </w:p>
    <w:p w14:paraId="1C35FF03">
      <w:pPr>
        <w:pStyle w:val="10"/>
        <w:ind w:firstLine="640"/>
      </w:pPr>
      <w:r>
        <w:t>6.5 </w:t>
      </w:r>
      <w:r>
        <w:rPr>
          <w:rFonts w:hint="eastAsia"/>
        </w:rPr>
        <w:t>交通保障</w:t>
      </w:r>
    </w:p>
    <w:p w14:paraId="42AFFADF">
      <w:pPr>
        <w:ind w:firstLine="640"/>
        <w:rPr>
          <w:szCs w:val="32"/>
        </w:rPr>
      </w:pPr>
      <w:r>
        <w:rPr>
          <w:rFonts w:hint="eastAsia"/>
          <w:szCs w:val="32"/>
        </w:rPr>
        <w:t>城市建设事务中心要加强应急运力建设，保障应急处置所需人员、物资、装备和器材的运输。公安分局要为应急抢险车辆采取保障措施，保障交通顺畅。</w:t>
      </w:r>
    </w:p>
    <w:p w14:paraId="7A76E5AE">
      <w:pPr>
        <w:pStyle w:val="10"/>
        <w:ind w:firstLine="640"/>
      </w:pPr>
      <w:r>
        <w:t>6.6 </w:t>
      </w:r>
      <w:r>
        <w:rPr>
          <w:rFonts w:hint="eastAsia"/>
        </w:rPr>
        <w:t>医疗保障</w:t>
      </w:r>
    </w:p>
    <w:p w14:paraId="177AE4E2">
      <w:pPr>
        <w:ind w:firstLine="640"/>
        <w:rPr>
          <w:szCs w:val="32"/>
        </w:rPr>
      </w:pPr>
      <w:r>
        <w:rPr>
          <w:rFonts w:hint="eastAsia"/>
          <w:szCs w:val="32"/>
        </w:rPr>
        <w:t>公共服务局负责应急处置工作中的医疗卫生保障，组织协调医疗救护队伍实施医疗救治。</w:t>
      </w:r>
    </w:p>
    <w:p w14:paraId="0B7DE16A">
      <w:pPr>
        <w:pStyle w:val="8"/>
        <w:ind w:firstLine="640"/>
      </w:pPr>
      <w:r>
        <w:t>7 </w:t>
      </w:r>
      <w:r>
        <w:rPr>
          <w:rFonts w:hint="eastAsia"/>
        </w:rPr>
        <w:t>预案管理</w:t>
      </w:r>
    </w:p>
    <w:p w14:paraId="6EF6A03C">
      <w:pPr>
        <w:pStyle w:val="10"/>
        <w:ind w:firstLine="640"/>
      </w:pPr>
      <w:r>
        <w:t>7.1 </w:t>
      </w:r>
      <w:r>
        <w:rPr>
          <w:rFonts w:hint="eastAsia"/>
        </w:rPr>
        <w:t>预案编制与解释</w:t>
      </w:r>
    </w:p>
    <w:p w14:paraId="0DC68DA2">
      <w:pPr>
        <w:ind w:firstLine="640"/>
        <w:rPr>
          <w:szCs w:val="32"/>
        </w:rPr>
      </w:pPr>
      <w:r>
        <w:rPr>
          <w:rFonts w:hint="eastAsia"/>
          <w:szCs w:val="32"/>
        </w:rPr>
        <w:t>本预案由重庆高新区应急管理局负责编制与解释。</w:t>
      </w:r>
    </w:p>
    <w:p w14:paraId="0D7772A0">
      <w:pPr>
        <w:pStyle w:val="10"/>
        <w:ind w:firstLine="640"/>
      </w:pPr>
      <w:r>
        <w:t>7.2 </w:t>
      </w:r>
      <w:r>
        <w:rPr>
          <w:rFonts w:hint="eastAsia"/>
        </w:rPr>
        <w:t>预案培训</w:t>
      </w:r>
    </w:p>
    <w:p w14:paraId="35A57D9D">
      <w:pPr>
        <w:ind w:firstLine="640"/>
        <w:rPr>
          <w:szCs w:val="32"/>
        </w:rPr>
      </w:pPr>
      <w:r>
        <w:rPr>
          <w:rFonts w:hint="eastAsia"/>
          <w:szCs w:val="32"/>
        </w:rPr>
        <w:t>各相关成员单位要加强应急救援工作的宣传、教育力度，广泛宣传事故应急预案、应急救援常识，增强应急救援人员和从业人员的应急救援意识，提高预防、避险、避灾、自救、互救的能力。</w:t>
      </w:r>
    </w:p>
    <w:p w14:paraId="40C33B17">
      <w:pPr>
        <w:pStyle w:val="10"/>
        <w:ind w:firstLine="640"/>
      </w:pPr>
      <w:r>
        <w:t>7.3 </w:t>
      </w:r>
      <w:r>
        <w:rPr>
          <w:rFonts w:hint="eastAsia"/>
        </w:rPr>
        <w:t>预案演练</w:t>
      </w:r>
    </w:p>
    <w:p w14:paraId="4D227AAA">
      <w:pPr>
        <w:ind w:firstLine="640"/>
        <w:rPr>
          <w:szCs w:val="32"/>
        </w:rPr>
      </w:pPr>
      <w:r>
        <w:rPr>
          <w:rFonts w:hint="eastAsia"/>
          <w:szCs w:val="32"/>
        </w:rPr>
        <w:t>本预案至少每2年组织1次预案演练，由应急管理局牵头开展应急演练，检验各相关成员单位的应急处置能力，演练结束后组织人员进行评估和总结。</w:t>
      </w:r>
    </w:p>
    <w:p w14:paraId="698D020C">
      <w:pPr>
        <w:pStyle w:val="10"/>
        <w:ind w:firstLine="640"/>
      </w:pPr>
      <w:r>
        <w:t>7.4 </w:t>
      </w:r>
      <w:r>
        <w:rPr>
          <w:rFonts w:hint="eastAsia"/>
        </w:rPr>
        <w:t>预案修订</w:t>
      </w:r>
    </w:p>
    <w:p w14:paraId="19782B1A">
      <w:pPr>
        <w:ind w:firstLine="640"/>
        <w:rPr>
          <w:szCs w:val="32"/>
        </w:rPr>
      </w:pPr>
      <w:r>
        <w:rPr>
          <w:rFonts w:hint="eastAsia"/>
          <w:szCs w:val="32"/>
        </w:rPr>
        <w:t>应急管理局应定期开展预案评估工作，适时对本预案进行修订。有下列情形之一的，应当及时修订应急预案：</w:t>
      </w:r>
    </w:p>
    <w:p w14:paraId="01DA809B">
      <w:pPr>
        <w:ind w:firstLine="640"/>
        <w:rPr>
          <w:szCs w:val="32"/>
        </w:rPr>
      </w:pPr>
      <w:r>
        <w:rPr>
          <w:rFonts w:hint="eastAsia"/>
          <w:szCs w:val="32"/>
        </w:rPr>
        <w:t>（1）制定预案所依据的法律、法规、规章、标准发生重大变化；</w:t>
      </w:r>
    </w:p>
    <w:p w14:paraId="050FC74A">
      <w:pPr>
        <w:ind w:firstLine="640"/>
        <w:rPr>
          <w:szCs w:val="32"/>
        </w:rPr>
      </w:pPr>
      <w:r>
        <w:rPr>
          <w:rFonts w:hint="eastAsia"/>
          <w:szCs w:val="32"/>
        </w:rPr>
        <w:t>（2）应急指挥机构及其职责发生调整；</w:t>
      </w:r>
    </w:p>
    <w:p w14:paraId="5FFF63CA">
      <w:pPr>
        <w:ind w:firstLine="640"/>
        <w:rPr>
          <w:szCs w:val="32"/>
        </w:rPr>
      </w:pPr>
      <w:r>
        <w:rPr>
          <w:rFonts w:hint="eastAsia"/>
          <w:szCs w:val="32"/>
        </w:rPr>
        <w:t>（3）面临的风险发生重大变化；</w:t>
      </w:r>
    </w:p>
    <w:p w14:paraId="49432652">
      <w:pPr>
        <w:ind w:firstLine="640"/>
        <w:rPr>
          <w:szCs w:val="32"/>
        </w:rPr>
      </w:pPr>
      <w:r>
        <w:rPr>
          <w:rFonts w:hint="eastAsia"/>
          <w:szCs w:val="32"/>
        </w:rPr>
        <w:t>（4）重要应急资源发生重大变化；</w:t>
      </w:r>
    </w:p>
    <w:p w14:paraId="1434FEF4">
      <w:pPr>
        <w:ind w:firstLine="640"/>
        <w:rPr>
          <w:szCs w:val="32"/>
        </w:rPr>
      </w:pPr>
      <w:r>
        <w:rPr>
          <w:rFonts w:hint="eastAsia"/>
          <w:szCs w:val="32"/>
        </w:rPr>
        <w:t>（5）预案中的其他重要信息发生变化的；</w:t>
      </w:r>
    </w:p>
    <w:p w14:paraId="2D8730A6">
      <w:pPr>
        <w:ind w:firstLine="640"/>
        <w:rPr>
          <w:szCs w:val="32"/>
        </w:rPr>
      </w:pPr>
      <w:r>
        <w:rPr>
          <w:rFonts w:hint="eastAsia"/>
          <w:szCs w:val="32"/>
        </w:rPr>
        <w:t>（6）在预案演练或者应急救援中发现需要修订预案的重大问题；</w:t>
      </w:r>
    </w:p>
    <w:p w14:paraId="2ABF2D2B">
      <w:pPr>
        <w:ind w:firstLine="640"/>
        <w:rPr>
          <w:szCs w:val="32"/>
        </w:rPr>
      </w:pPr>
      <w:r>
        <w:rPr>
          <w:rFonts w:hint="eastAsia"/>
          <w:szCs w:val="32"/>
        </w:rPr>
        <w:t>（7）其他应当修订的情形。</w:t>
      </w:r>
    </w:p>
    <w:p w14:paraId="29612F25">
      <w:pPr>
        <w:pStyle w:val="10"/>
        <w:ind w:firstLine="640"/>
      </w:pPr>
      <w:r>
        <w:t>7.5 </w:t>
      </w:r>
      <w:r>
        <w:rPr>
          <w:rFonts w:hint="eastAsia"/>
        </w:rPr>
        <w:t>预案实施</w:t>
      </w:r>
    </w:p>
    <w:p w14:paraId="2B4940F6">
      <w:pPr>
        <w:ind w:firstLine="640"/>
        <w:rPr>
          <w:rFonts w:hint="eastAsia" w:eastAsia="方正仿宋_GBK"/>
          <w:szCs w:val="32"/>
          <w:lang w:val="en-US" w:eastAsia="zh-CN"/>
        </w:rPr>
        <w:sectPr>
          <w:pgSz w:w="11906" w:h="16838"/>
          <w:pgMar w:top="2098" w:right="1531" w:bottom="1985" w:left="1531" w:header="851" w:footer="1531" w:gutter="0"/>
          <w:cols w:space="425" w:num="1"/>
          <w:docGrid w:type="lines" w:linePitch="312" w:charSpace="0"/>
        </w:sectPr>
      </w:pPr>
      <w:r>
        <w:rPr>
          <w:rFonts w:hint="eastAsia"/>
          <w:szCs w:val="32"/>
        </w:rPr>
        <w:t>本预案自印发之日起施行</w:t>
      </w:r>
      <w:r>
        <w:rPr>
          <w:rFonts w:hint="eastAsia"/>
          <w:szCs w:val="32"/>
          <w:lang w:eastAsia="zh-CN"/>
        </w:rPr>
        <w:t>。</w:t>
      </w:r>
    </w:p>
    <w:p w14:paraId="30AF7356">
      <w:pPr>
        <w:pStyle w:val="16"/>
        <w:spacing w:line="240" w:lineRule="exact"/>
        <w:jc w:val="both"/>
        <w:rPr>
          <w:rFonts w:ascii="Times New Roman" w:hAnsi="Times New Roman" w:eastAsia="等线"/>
          <w:sz w:val="21"/>
          <w:szCs w:val="21"/>
        </w:rPr>
      </w:pPr>
    </w:p>
    <w:p w14:paraId="7CFE5A64">
      <w:pPr>
        <w:pStyle w:val="16"/>
        <w:spacing w:line="240" w:lineRule="exact"/>
        <w:ind w:firstLine="420"/>
        <w:jc w:val="both"/>
        <w:rPr>
          <w:rFonts w:ascii="Times New Roman" w:hAnsi="Times New Roman" w:eastAsia="等线"/>
          <w:sz w:val="21"/>
          <w:szCs w:val="21"/>
        </w:rPr>
      </w:pPr>
    </w:p>
    <w:p w14:paraId="3CF84550">
      <w:pPr>
        <w:pBdr>
          <w:top w:val="single" w:color="auto" w:sz="4" w:space="1"/>
          <w:bottom w:val="single" w:color="auto" w:sz="4" w:space="1"/>
        </w:pBdr>
        <w:spacing w:line="400" w:lineRule="exact"/>
        <w:ind w:firstLine="280" w:firstLineChars="100"/>
        <w:rPr>
          <w:szCs w:val="32"/>
        </w:rPr>
      </w:pPr>
      <w:r>
        <w:rPr>
          <w:rFonts w:hint="eastAsia" w:cs="方正仿宋_GBK"/>
          <w:sz w:val="28"/>
          <w:szCs w:val="28"/>
        </w:rPr>
        <w:t>重庆高新区管委会</w:t>
      </w:r>
      <w:r>
        <w:rPr>
          <w:rFonts w:cs="方正仿宋_GBK"/>
          <w:sz w:val="28"/>
          <w:szCs w:val="28"/>
        </w:rPr>
        <w:t>办公室</w:t>
      </w:r>
      <w:r>
        <w:rPr>
          <w:rFonts w:cs="仿宋_GB2312"/>
          <w:kern w:val="0"/>
          <w:sz w:val="28"/>
          <w:szCs w:val="28"/>
        </w:rPr>
        <w:t xml:space="preserve"> </w:t>
      </w:r>
      <w:r>
        <w:rPr>
          <w:rFonts w:hint="eastAsia" w:cs="仿宋_GB2312"/>
          <w:kern w:val="0"/>
          <w:sz w:val="28"/>
          <w:szCs w:val="28"/>
        </w:rPr>
        <w:t xml:space="preserve">     </w:t>
      </w:r>
      <w:r>
        <w:rPr>
          <w:rFonts w:cs="仿宋_GB2312"/>
          <w:kern w:val="0"/>
          <w:sz w:val="28"/>
          <w:szCs w:val="28"/>
        </w:rPr>
        <w:t xml:space="preserve"> </w:t>
      </w:r>
      <w:r>
        <w:rPr>
          <w:rFonts w:hint="eastAsia" w:cs="仿宋_GB2312"/>
          <w:kern w:val="0"/>
          <w:sz w:val="28"/>
          <w:szCs w:val="28"/>
        </w:rPr>
        <w:t xml:space="preserve">  </w:t>
      </w:r>
      <w:r>
        <w:rPr>
          <w:rFonts w:cs="仿宋_GB2312"/>
          <w:kern w:val="0"/>
          <w:sz w:val="28"/>
          <w:szCs w:val="28"/>
        </w:rPr>
        <w:t xml:space="preserve">        </w:t>
      </w:r>
      <w:r>
        <w:rPr>
          <w:rFonts w:hint="eastAsia" w:cs="仿宋_GB2312"/>
          <w:kern w:val="0"/>
          <w:sz w:val="28"/>
          <w:szCs w:val="28"/>
        </w:rPr>
        <w:t xml:space="preserve">  20</w:t>
      </w:r>
      <w:r>
        <w:rPr>
          <w:rFonts w:cs="仿宋_GB2312"/>
          <w:kern w:val="0"/>
          <w:sz w:val="28"/>
          <w:szCs w:val="28"/>
        </w:rPr>
        <w:t>25</w:t>
      </w:r>
      <w:r>
        <w:rPr>
          <w:rFonts w:hint="eastAsia" w:cs="仿宋_GB2312"/>
          <w:kern w:val="0"/>
          <w:sz w:val="28"/>
          <w:szCs w:val="28"/>
        </w:rPr>
        <w:t>年</w:t>
      </w:r>
      <w:r>
        <w:rPr>
          <w:rFonts w:cs="仿宋_GB2312"/>
          <w:kern w:val="0"/>
          <w:sz w:val="28"/>
          <w:szCs w:val="28"/>
        </w:rPr>
        <w:t>12</w:t>
      </w:r>
      <w:r>
        <w:rPr>
          <w:rFonts w:hint="eastAsia" w:cs="仿宋_GB2312"/>
          <w:kern w:val="0"/>
          <w:sz w:val="28"/>
          <w:szCs w:val="28"/>
        </w:rPr>
        <w:t>月</w:t>
      </w:r>
      <w:r>
        <w:rPr>
          <w:rFonts w:cs="仿宋_GB2312"/>
          <w:kern w:val="0"/>
          <w:sz w:val="28"/>
          <w:szCs w:val="28"/>
        </w:rPr>
        <w:t> </w:t>
      </w:r>
      <w:r>
        <w:rPr>
          <w:rFonts w:hint="eastAsia" w:cs="仿宋_GB2312"/>
          <w:kern w:val="0"/>
          <w:sz w:val="28"/>
          <w:szCs w:val="28"/>
        </w:rPr>
        <w:t>日印发</w:t>
      </w:r>
      <w:r>
        <w:rPr>
          <w:rFonts w:cs="仿宋_GB2312"/>
          <w:kern w:val="0"/>
          <w:sz w:val="28"/>
          <w:szCs w:val="28"/>
        </w:rPr>
        <w:t> </w:t>
      </w:r>
    </w:p>
    <w:sectPr>
      <w:pgSz w:w="11906" w:h="16838"/>
      <w:pgMar w:top="2098" w:right="1531" w:bottom="1985" w:left="1531" w:header="851" w:footer="1531"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黑体_GBK">
    <w:panose1 w:val="02010600010101010101"/>
    <w:charset w:val="86"/>
    <w:family w:val="script"/>
    <w:pitch w:val="default"/>
    <w:sig w:usb0="00000001" w:usb1="080E0000" w:usb2="00000000" w:usb3="00000000" w:csb0="00040000" w:csb1="00000000"/>
  </w:font>
  <w:font w:name="方正楷体_GBK">
    <w:panose1 w:val="02000000000000000000"/>
    <w:charset w:val="86"/>
    <w:family w:val="script"/>
    <w:pitch w:val="default"/>
    <w:sig w:usb0="800002BF" w:usb1="38CF7CFA" w:usb2="00000016"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7CCC1">
    <w:pPr>
      <w:pStyle w:val="2"/>
      <w:spacing w:line="240" w:lineRule="auto"/>
      <w:ind w:right="320" w:rightChars="100" w:firstLine="0" w:firstLineChars="0"/>
      <w:jc w:val="right"/>
      <w:rPr>
        <w:rFonts w:ascii="宋体" w:hAnsi="宋体" w:eastAsia="宋体"/>
        <w:sz w:val="28"/>
        <w:szCs w:val="28"/>
      </w:rPr>
    </w:pPr>
    <w:r>
      <w:rPr>
        <w:rFonts w:hint="eastAsia" w:ascii="宋体" w:hAnsi="宋体" w:eastAsia="宋体"/>
        <w:sz w:val="28"/>
        <w:szCs w:val="28"/>
      </w:rPr>
      <w:t xml:space="preserve">— </w:t>
    </w:r>
    <w:sdt>
      <w:sdtPr>
        <w:rPr>
          <w:rFonts w:ascii="宋体" w:hAnsi="宋体" w:eastAsia="宋体"/>
          <w:sz w:val="28"/>
          <w:szCs w:val="28"/>
        </w:rPr>
        <w:id w:val="-149297042"/>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25</w:t>
        </w:r>
        <w:r>
          <w:rPr>
            <w:rFonts w:ascii="宋体" w:hAnsi="宋体" w:eastAsia="宋体"/>
            <w:sz w:val="28"/>
            <w:szCs w:val="28"/>
          </w:rPr>
          <w:fldChar w:fldCharType="end"/>
        </w:r>
        <w:r>
          <w:rPr>
            <w:rFonts w:ascii="宋体" w:hAnsi="宋体" w:eastAsia="宋体"/>
            <w:sz w:val="28"/>
            <w:szCs w:val="28"/>
          </w:rPr>
          <w:t xml:space="preserve"> </w:t>
        </w:r>
        <w:r>
          <w:rPr>
            <w:rFonts w:hint="eastAsia" w:ascii="宋体" w:hAnsi="宋体" w:eastAsia="宋体"/>
            <w:sz w:val="28"/>
            <w:szCs w:val="28"/>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1040744899"/>
      <w:docPartObj>
        <w:docPartGallery w:val="autotext"/>
      </w:docPartObj>
    </w:sdtPr>
    <w:sdtEndPr>
      <w:rPr>
        <w:rFonts w:ascii="宋体" w:hAnsi="宋体" w:eastAsia="宋体"/>
        <w:sz w:val="28"/>
        <w:szCs w:val="28"/>
      </w:rPr>
    </w:sdtEndPr>
    <w:sdtContent>
      <w:p w14:paraId="59FD9CBE">
        <w:pPr>
          <w:pStyle w:val="2"/>
          <w:spacing w:line="240" w:lineRule="auto"/>
          <w:ind w:left="320" w:leftChars="100" w:firstLine="0" w:firstLineChars="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24</w:t>
        </w:r>
        <w:r>
          <w:rPr>
            <w:rFonts w:ascii="宋体" w:hAnsi="宋体" w:eastAsia="宋体"/>
            <w:sz w:val="28"/>
            <w:szCs w:val="28"/>
          </w:rPr>
          <w:fldChar w:fldCharType="end"/>
        </w:r>
        <w:r>
          <w:rPr>
            <w:rFonts w:ascii="宋体" w:hAnsi="宋体" w:eastAsia="宋体"/>
            <w:sz w:val="28"/>
            <w:szCs w:val="28"/>
          </w:rPr>
          <w:t xml:space="preserve"> </w:t>
        </w:r>
        <w:r>
          <w:rPr>
            <w:rFonts w:hint="eastAsia" w:ascii="宋体" w:hAnsi="宋体" w:eastAsia="宋体"/>
            <w:sz w:val="28"/>
            <w:szCs w:val="28"/>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89A50">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45ED9">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67FE5">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9B8FD">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38B"/>
    <w:rsid w:val="001A1C6C"/>
    <w:rsid w:val="002336F0"/>
    <w:rsid w:val="00263D01"/>
    <w:rsid w:val="00373190"/>
    <w:rsid w:val="005334CB"/>
    <w:rsid w:val="0053638B"/>
    <w:rsid w:val="00791C2F"/>
    <w:rsid w:val="007A41D4"/>
    <w:rsid w:val="007D47EB"/>
    <w:rsid w:val="0084040C"/>
    <w:rsid w:val="00936FD0"/>
    <w:rsid w:val="0099694B"/>
    <w:rsid w:val="009C0E9C"/>
    <w:rsid w:val="009D79FC"/>
    <w:rsid w:val="00A5028F"/>
    <w:rsid w:val="00A505B8"/>
    <w:rsid w:val="00B55264"/>
    <w:rsid w:val="00B826BC"/>
    <w:rsid w:val="00C46C66"/>
    <w:rsid w:val="00C478B7"/>
    <w:rsid w:val="00D23827"/>
    <w:rsid w:val="00DA03A0"/>
    <w:rsid w:val="00EA502F"/>
    <w:rsid w:val="00EB6B48"/>
    <w:rsid w:val="00F830BF"/>
    <w:rsid w:val="00FE7804"/>
    <w:rsid w:val="00FF47E7"/>
    <w:rsid w:val="0C915E97"/>
    <w:rsid w:val="40B80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方正仿宋_GBK" w:cstheme="minorBidi"/>
      <w:kern w:val="2"/>
      <w:sz w:val="3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12"/>
    <w:unhideWhenUsed/>
    <w:uiPriority w:val="99"/>
    <w:pPr>
      <w:tabs>
        <w:tab w:val="center" w:pos="4153"/>
        <w:tab w:val="right" w:pos="8306"/>
      </w:tabs>
      <w:snapToGrid w:val="0"/>
      <w:spacing w:line="240" w:lineRule="atLeast"/>
      <w:jc w:val="center"/>
    </w:pPr>
    <w:rPr>
      <w:sz w:val="18"/>
      <w:szCs w:val="18"/>
    </w:rPr>
  </w:style>
  <w:style w:type="paragraph" w:customStyle="1" w:styleId="6">
    <w:name w:val="公文标题"/>
    <w:basedOn w:val="1"/>
    <w:next w:val="1"/>
    <w:link w:val="7"/>
    <w:qFormat/>
    <w:uiPriority w:val="0"/>
    <w:pPr>
      <w:ind w:firstLine="0" w:firstLineChars="0"/>
      <w:jc w:val="center"/>
    </w:pPr>
    <w:rPr>
      <w:rFonts w:eastAsia="方正小标宋_GBK"/>
      <w:sz w:val="44"/>
      <w:szCs w:val="32"/>
    </w:rPr>
  </w:style>
  <w:style w:type="character" w:customStyle="1" w:styleId="7">
    <w:name w:val="公文标题 字符"/>
    <w:basedOn w:val="5"/>
    <w:link w:val="6"/>
    <w:uiPriority w:val="0"/>
    <w:rPr>
      <w:rFonts w:ascii="Times New Roman" w:hAnsi="Times New Roman" w:eastAsia="方正小标宋_GBK"/>
      <w:sz w:val="44"/>
      <w:szCs w:val="32"/>
    </w:rPr>
  </w:style>
  <w:style w:type="paragraph" w:customStyle="1" w:styleId="8">
    <w:name w:val="一级标题"/>
    <w:basedOn w:val="1"/>
    <w:next w:val="1"/>
    <w:link w:val="9"/>
    <w:qFormat/>
    <w:uiPriority w:val="0"/>
    <w:rPr>
      <w:rFonts w:eastAsia="方正黑体_GBK"/>
      <w:szCs w:val="32"/>
    </w:rPr>
  </w:style>
  <w:style w:type="character" w:customStyle="1" w:styleId="9">
    <w:name w:val="一级标题 字符"/>
    <w:basedOn w:val="5"/>
    <w:link w:val="8"/>
    <w:uiPriority w:val="0"/>
    <w:rPr>
      <w:rFonts w:ascii="Times New Roman" w:hAnsi="Times New Roman" w:eastAsia="方正黑体_GBK"/>
      <w:sz w:val="32"/>
      <w:szCs w:val="32"/>
    </w:rPr>
  </w:style>
  <w:style w:type="paragraph" w:customStyle="1" w:styleId="10">
    <w:name w:val="二级标题"/>
    <w:basedOn w:val="1"/>
    <w:next w:val="1"/>
    <w:link w:val="11"/>
    <w:qFormat/>
    <w:uiPriority w:val="0"/>
    <w:rPr>
      <w:rFonts w:eastAsia="方正楷体_GBK"/>
      <w:szCs w:val="24"/>
    </w:rPr>
  </w:style>
  <w:style w:type="character" w:customStyle="1" w:styleId="11">
    <w:name w:val="二级标题 字符"/>
    <w:basedOn w:val="5"/>
    <w:link w:val="10"/>
    <w:uiPriority w:val="0"/>
    <w:rPr>
      <w:rFonts w:ascii="Times New Roman" w:hAnsi="Times New Roman" w:eastAsia="方正楷体_GBK"/>
      <w:sz w:val="32"/>
      <w:szCs w:val="24"/>
    </w:rPr>
  </w:style>
  <w:style w:type="character" w:customStyle="1" w:styleId="12">
    <w:name w:val="页眉 字符"/>
    <w:basedOn w:val="5"/>
    <w:link w:val="3"/>
    <w:uiPriority w:val="99"/>
    <w:rPr>
      <w:rFonts w:ascii="Times New Roman" w:hAnsi="Times New Roman" w:eastAsia="方正仿宋_GBK"/>
      <w:sz w:val="18"/>
      <w:szCs w:val="18"/>
    </w:rPr>
  </w:style>
  <w:style w:type="character" w:customStyle="1" w:styleId="13">
    <w:name w:val="页脚 字符"/>
    <w:basedOn w:val="5"/>
    <w:link w:val="2"/>
    <w:qFormat/>
    <w:uiPriority w:val="99"/>
    <w:rPr>
      <w:rFonts w:ascii="Times New Roman" w:hAnsi="Times New Roman" w:eastAsia="方正仿宋_GBK"/>
      <w:sz w:val="18"/>
      <w:szCs w:val="18"/>
    </w:rPr>
  </w:style>
  <w:style w:type="paragraph" w:styleId="14">
    <w:name w:val="No Spacing"/>
    <w:basedOn w:val="1"/>
    <w:next w:val="1"/>
    <w:link w:val="15"/>
    <w:qFormat/>
    <w:uiPriority w:val="1"/>
  </w:style>
  <w:style w:type="character" w:customStyle="1" w:styleId="15">
    <w:name w:val="无间隔 字符"/>
    <w:basedOn w:val="5"/>
    <w:link w:val="14"/>
    <w:uiPriority w:val="1"/>
    <w:rPr>
      <w:rFonts w:ascii="Times New Roman" w:hAnsi="Times New Roman" w:eastAsia="方正仿宋_GBK"/>
      <w:sz w:val="32"/>
    </w:rPr>
  </w:style>
  <w:style w:type="paragraph" w:customStyle="1" w:styleId="16">
    <w:name w:val="默认"/>
    <w:qFormat/>
    <w:uiPriority w:val="0"/>
    <w:rPr>
      <w:rFonts w:ascii="Helvetica" w:hAnsi="Helvetica" w:eastAsia="Helvetica" w:cs="Helvetica"/>
      <w:color w:val="000000"/>
      <w:kern w:val="0"/>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6736</Words>
  <Characters>6956</Characters>
  <Lines>74</Lines>
  <Paragraphs>20</Paragraphs>
  <TotalTime>28</TotalTime>
  <ScaleCrop>false</ScaleCrop>
  <LinksUpToDate>false</LinksUpToDate>
  <CharactersWithSpaces>6983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2025-12-11T09:08:00Z</dcterms:created>
  <dc:creator>高新区应急管理局</dc:creator>
  <cp:lastModifiedBy>silence</cp:lastModifiedBy>
  <dcterms:modified xsi:type="dcterms:W3CDTF">2026-02-02T09:46:17Z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eyJoZGlkIjoiMDRkYTFhOWYwN2ExZDRlMGFkNzkxZWU1OGJmMmM5MjQiLCJ1c2VySWQiOiIxMzM2Nzc0MTkzIn0=</vt:lpwstr>
  </property>
  <property fmtid="{D5CDD505-2E9C-101B-9397-08002B2CF9AE}" pid="3" name="KSOProductBuildVer">
    <vt:lpwstr>2052-12.1.0.24657</vt:lpwstr>
  </property>
  <property fmtid="{D5CDD505-2E9C-101B-9397-08002B2CF9AE}" pid="4" name="ICV">
    <vt:lpwstr>9E0506A4FD424D7D9AF5C345ACF2C542_13</vt:lpwstr>
  </property>
</Properties>
</file>