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hd w:val="clear" w:color="auto" w:fill="FFFFFF"/>
        <w:spacing w:line="600" w:lineRule="exact"/>
        <w:jc w:val="center"/>
        <w:rPr>
          <w:rStyle w:val="10"/>
          <w:rFonts w:ascii="方正小标宋_GBK" w:hAnsi="方正小标宋_GBK" w:eastAsia="方正小标宋_GBK" w:cs="方正小标宋_GBK"/>
          <w:b w:val="0"/>
          <w:bCs w:val="0"/>
          <w:sz w:val="44"/>
          <w:szCs w:val="44"/>
          <w:shd w:val="clear" w:color="auto" w:fill="FFFFFF"/>
        </w:rPr>
      </w:pPr>
      <w:bookmarkStart w:id="0" w:name="_GoBack"/>
      <w:bookmarkEnd w:id="0"/>
      <w:r>
        <w:rPr>
          <w:rStyle w:val="10"/>
          <w:rFonts w:hint="eastAsia" w:ascii="方正小标宋_GBK" w:hAnsi="方正小标宋_GBK" w:eastAsia="方正小标宋_GBK" w:cs="方正小标宋_GBK"/>
          <w:b w:val="0"/>
          <w:bCs w:val="0"/>
          <w:sz w:val="44"/>
          <w:szCs w:val="44"/>
          <w:shd w:val="clear" w:color="auto" w:fill="FFFFFF"/>
        </w:rPr>
        <w:t>白市驿镇人民政府2022年度部门决算情况说明</w:t>
      </w:r>
    </w:p>
    <w:p>
      <w:pPr>
        <w:pStyle w:val="6"/>
        <w:shd w:val="clear" w:color="auto" w:fill="FFFFFF"/>
        <w:spacing w:line="600" w:lineRule="exact"/>
        <w:jc w:val="center"/>
        <w:rPr>
          <w:rStyle w:val="10"/>
          <w:rFonts w:ascii="方正仿宋_GBK" w:hAnsi="方正仿宋_GBK" w:eastAsia="方正仿宋_GBK" w:cs="方正仿宋_GBK"/>
          <w:sz w:val="32"/>
          <w:szCs w:val="32"/>
          <w:shd w:val="clear" w:color="auto" w:fill="FFFFFF"/>
        </w:rPr>
      </w:pPr>
    </w:p>
    <w:p>
      <w:pPr>
        <w:pStyle w:val="6"/>
        <w:shd w:val="clear" w:color="auto" w:fill="FFFFFF"/>
        <w:spacing w:before="0" w:beforeAutospacing="0" w:after="0" w:afterAutospacing="0" w:line="600" w:lineRule="exact"/>
        <w:ind w:firstLine="640" w:firstLineChars="200"/>
        <w:jc w:val="both"/>
        <w:rPr>
          <w:rFonts w:ascii="Times New Roman" w:hAnsi="Times New Roman" w:eastAsia="方正黑体_GBK" w:cs="Times New Roman"/>
          <w:b/>
          <w:sz w:val="32"/>
          <w:szCs w:val="32"/>
        </w:rPr>
      </w:pPr>
      <w:r>
        <w:rPr>
          <w:rStyle w:val="9"/>
          <w:rFonts w:ascii="Times New Roman" w:hAnsi="Times New Roman" w:eastAsia="方正黑体_GBK" w:cs="Times New Roman"/>
          <w:b w:val="0"/>
          <w:sz w:val="32"/>
          <w:szCs w:val="32"/>
        </w:rPr>
        <w:t>一、部门基本情况</w:t>
      </w:r>
    </w:p>
    <w:p>
      <w:pPr>
        <w:pStyle w:val="11"/>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Cs/>
          <w:sz w:val="32"/>
          <w:szCs w:val="32"/>
          <w:shd w:val="clear" w:color="auto" w:fill="FFFFFF"/>
        </w:rPr>
      </w:pPr>
      <w:r>
        <w:rPr>
          <w:rFonts w:ascii="Times New Roman" w:hAnsi="Times New Roman" w:eastAsia="方正楷体_GBK" w:cs="Times New Roman"/>
          <w:bCs/>
          <w:sz w:val="32"/>
          <w:szCs w:val="32"/>
          <w:shd w:val="clear" w:color="auto" w:fill="FFFFFF"/>
        </w:rPr>
        <w:t>（一）职能职责</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贯彻执行党和国家的路线、方针、政策、法律、法规、法令；执行镇人民代表大会的决议和上级人民政府的决定和命令；制定并组织实施本镇国民经济和社会发展规划、年度计划和预算；抓好本辖区内国民经济和社会发展的各项工作，坚持科学发展，富民强镇。以经济建设为中心，助推高新区发展，加快重大基础设施和重点项目建设，加强城镇建设和管理；调结构促转型，推动城乡一体发展，不断提高城乡居民收入；把镇人民政府建设成为密切联系群众、全心全意为人民服务的高效基层政权组织。</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Cs/>
          <w:sz w:val="32"/>
          <w:szCs w:val="32"/>
          <w:shd w:val="clear" w:color="auto" w:fill="FFFFFF"/>
        </w:rPr>
      </w:pPr>
      <w:r>
        <w:rPr>
          <w:rFonts w:ascii="Times New Roman" w:hAnsi="Times New Roman" w:eastAsia="方正楷体_GBK" w:cs="Times New Roman"/>
          <w:bCs/>
          <w:sz w:val="32"/>
          <w:szCs w:val="32"/>
          <w:shd w:val="clear" w:color="auto" w:fill="FFFFFF"/>
        </w:rPr>
        <w:t>（二）机构设置</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镇属部门16个。其中内设机构9个，包括党政办公室、党建工作办公室、经济发展办公室、财政办公室、规划建设管理环保办公室、民政和社会事务办公室、平安建设办公室、应急管理办公室、综合行政执法办公室；其中事业单位7个，包括白市驿镇农业服务中心、白市驿镇文化服务中心、白市驿镇劳动就业和社会保障服务所、白市驿镇退役军人服务站、白市驿镇综合行政执法大队、白市驿镇社会管理信息服务中心、白市驿镇物业管理服务中心。</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Cs/>
          <w:sz w:val="32"/>
          <w:szCs w:val="32"/>
          <w:shd w:val="clear" w:color="auto" w:fill="FFFFFF"/>
        </w:rPr>
      </w:pPr>
      <w:r>
        <w:rPr>
          <w:rFonts w:hint="eastAsia" w:ascii="Times New Roman" w:hAnsi="Times New Roman" w:eastAsia="方正楷体_GBK" w:cs="Times New Roman"/>
          <w:bCs/>
          <w:sz w:val="32"/>
          <w:szCs w:val="32"/>
          <w:shd w:val="clear" w:color="auto" w:fill="FFFFFF"/>
        </w:rPr>
        <w:t xml:space="preserve">（三）单位构成        </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从预算单位构成看，纳入本部门2022年度决算编制的二级预算单位主要包括：白市驿镇机关、白市驿镇农业服务中心、白市驿镇文化服务中心、白市驿镇劳动就业和社会保障服务所、白市驿镇退役军人服务站、白市驿镇综合行政执法大队、白市驿镇社会管理信息服务中心、白市驿镇物业管理服务中心。</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黑体_GBK" w:cs="Times New Roman"/>
          <w:b/>
          <w:sz w:val="32"/>
          <w:szCs w:val="32"/>
        </w:rPr>
      </w:pPr>
      <w:r>
        <w:rPr>
          <w:rStyle w:val="9"/>
          <w:rFonts w:ascii="Times New Roman" w:hAnsi="Times New Roman" w:eastAsia="方正黑体_GBK" w:cs="Times New Roman"/>
          <w:b w:val="0"/>
          <w:sz w:val="32"/>
          <w:szCs w:val="32"/>
        </w:rPr>
        <w:t>二、部门决算情况说明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
          <w:sz w:val="32"/>
          <w:szCs w:val="32"/>
        </w:rPr>
      </w:pPr>
      <w:r>
        <w:rPr>
          <w:rStyle w:val="9"/>
          <w:rFonts w:ascii="Times New Roman" w:hAnsi="Times New Roman" w:eastAsia="方正楷体_GBK" w:cs="Times New Roman"/>
          <w:b w:val="0"/>
          <w:sz w:val="32"/>
          <w:szCs w:val="32"/>
        </w:rPr>
        <w:t>（一）收入支出决算总体情况说明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仿宋_GBK" w:cs="Times New Roman"/>
          <w:b w:val="0"/>
          <w:sz w:val="32"/>
          <w:szCs w:val="32"/>
        </w:rPr>
        <w:t>1.总体情况。</w:t>
      </w:r>
      <w:r>
        <w:rPr>
          <w:rStyle w:val="9"/>
          <w:rFonts w:hint="eastAsia" w:ascii="Times New Roman" w:hAnsi="Times New Roman" w:eastAsia="方正仿宋_GBK" w:cs="Times New Roman"/>
          <w:b w:val="0"/>
          <w:sz w:val="32"/>
          <w:szCs w:val="32"/>
        </w:rPr>
        <w:t>2022年度收入总计14,633.58万元，支出总计14,633.58万元。收支较上年决算数减少4,325.61万元</w:t>
      </w:r>
      <w:r>
        <w:rPr>
          <w:rStyle w:val="9"/>
          <w:rFonts w:hint="eastAsia" w:ascii="方正仿宋_GBK" w:hAnsi="方正仿宋_GBK" w:eastAsia="方正仿宋_GBK" w:cs="方正仿宋_GBK"/>
          <w:b w:val="0"/>
          <w:sz w:val="32"/>
          <w:szCs w:val="32"/>
        </w:rPr>
        <w:t>,下降</w:t>
      </w:r>
      <w:r>
        <w:rPr>
          <w:rStyle w:val="9"/>
          <w:rFonts w:hint="eastAsia" w:ascii="Times New Roman" w:hAnsi="Times New Roman" w:eastAsia="方正仿宋_GBK" w:cs="Times New Roman"/>
          <w:b w:val="0"/>
          <w:sz w:val="32"/>
          <w:szCs w:val="32"/>
        </w:rPr>
        <w:t>22.8%，</w:t>
      </w:r>
      <w:r>
        <w:rPr>
          <w:rFonts w:hint="eastAsia" w:ascii="Times New Roman" w:hAnsi="Times New Roman" w:eastAsia="方正仿宋_GBK" w:cs="Times New Roman"/>
          <w:sz w:val="32"/>
          <w:szCs w:val="32"/>
        </w:rPr>
        <w:t>主要原因是厉行节约，减少年初预算。</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仿宋_GBK" w:cs="Times New Roman"/>
          <w:b w:val="0"/>
          <w:sz w:val="32"/>
          <w:szCs w:val="32"/>
        </w:rPr>
      </w:pPr>
      <w:r>
        <w:rPr>
          <w:rStyle w:val="9"/>
          <w:rFonts w:ascii="Times New Roman" w:hAnsi="Times New Roman" w:eastAsia="方正仿宋_GBK" w:cs="Times New Roman"/>
          <w:b w:val="0"/>
          <w:sz w:val="32"/>
          <w:szCs w:val="32"/>
        </w:rPr>
        <w:t>2.收入情况。</w:t>
      </w:r>
      <w:r>
        <w:rPr>
          <w:rStyle w:val="9"/>
          <w:rFonts w:hint="eastAsia" w:ascii="Times New Roman" w:hAnsi="Times New Roman" w:eastAsia="方正仿宋_GBK" w:cs="Times New Roman"/>
          <w:b w:val="0"/>
          <w:sz w:val="32"/>
          <w:szCs w:val="32"/>
        </w:rPr>
        <w:t>2022年度收入合计12,784.8万元，较上年决算数减少4,321.86万元，下降25.3%，主要原因是</w:t>
      </w:r>
      <w:r>
        <w:rPr>
          <w:rFonts w:hint="eastAsia" w:ascii="Times New Roman" w:hAnsi="Times New Roman" w:eastAsia="方正仿宋_GBK" w:cs="Times New Roman"/>
          <w:sz w:val="32"/>
          <w:szCs w:val="32"/>
        </w:rPr>
        <w:t>厉行节约，减少年初预算。</w:t>
      </w:r>
      <w:r>
        <w:rPr>
          <w:rStyle w:val="9"/>
          <w:rFonts w:hint="eastAsia" w:ascii="Times New Roman" w:hAnsi="Times New Roman" w:eastAsia="方正仿宋_GBK" w:cs="Times New Roman"/>
          <w:b w:val="0"/>
          <w:sz w:val="32"/>
          <w:szCs w:val="32"/>
        </w:rPr>
        <w:t>其中：财政拨款收入12,784.8万元，占100.0%。年初结转和结余1,848.79万元。</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仿宋_GBK" w:cs="Times New Roman"/>
          <w:b w:val="0"/>
          <w:sz w:val="32"/>
          <w:szCs w:val="32"/>
        </w:rPr>
        <w:t>3.支出情况。</w:t>
      </w:r>
      <w:r>
        <w:rPr>
          <w:rStyle w:val="9"/>
          <w:rFonts w:hint="eastAsia" w:ascii="Times New Roman" w:hAnsi="Times New Roman" w:eastAsia="方正仿宋_GBK" w:cs="Times New Roman"/>
          <w:b w:val="0"/>
          <w:sz w:val="32"/>
          <w:szCs w:val="32"/>
        </w:rPr>
        <w:t>2022年度支出合计12,784.8万元，较上年决算减少4,324.25万元，下降25.3%，主要原因是</w:t>
      </w:r>
      <w:r>
        <w:rPr>
          <w:rFonts w:hint="eastAsia" w:ascii="Times New Roman" w:hAnsi="Times New Roman" w:eastAsia="方正仿宋_GBK" w:cs="Times New Roman"/>
          <w:sz w:val="32"/>
          <w:szCs w:val="32"/>
        </w:rPr>
        <w:t>厉行节约，减少年初预算</w:t>
      </w:r>
      <w:r>
        <w:rPr>
          <w:rStyle w:val="9"/>
          <w:rFonts w:hint="eastAsia" w:ascii="Times New Roman" w:hAnsi="Times New Roman" w:eastAsia="方正仿宋_GBK" w:cs="Times New Roman"/>
          <w:b w:val="0"/>
          <w:sz w:val="32"/>
          <w:szCs w:val="32"/>
        </w:rPr>
        <w:t>。其中：基本支出3,457.59万元，占27.0%；项目支出9,327.21万元，占73.0%。</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仿宋_GBK" w:cs="Times New Roman"/>
          <w:b w:val="0"/>
          <w:sz w:val="32"/>
          <w:szCs w:val="32"/>
        </w:rPr>
      </w:pPr>
      <w:r>
        <w:rPr>
          <w:rStyle w:val="9"/>
          <w:rFonts w:ascii="Times New Roman" w:hAnsi="Times New Roman" w:eastAsia="方正仿宋_GBK" w:cs="Times New Roman"/>
          <w:b w:val="0"/>
          <w:sz w:val="32"/>
          <w:szCs w:val="32"/>
        </w:rPr>
        <w:t>4.结转结余情况</w:t>
      </w:r>
      <w:r>
        <w:rPr>
          <w:rStyle w:val="9"/>
          <w:rFonts w:ascii="Times New Roman" w:hAnsi="Times New Roman" w:eastAsia="方正仿宋_GBK" w:cs="Times New Roman"/>
          <w:sz w:val="32"/>
          <w:szCs w:val="32"/>
        </w:rPr>
        <w:t>。</w:t>
      </w:r>
      <w:r>
        <w:rPr>
          <w:rStyle w:val="9"/>
          <w:rFonts w:ascii="Times New Roman" w:hAnsi="Times New Roman" w:eastAsia="方正仿宋_GBK" w:cs="Times New Roman"/>
          <w:b w:val="0"/>
          <w:bCs w:val="0"/>
          <w:sz w:val="32"/>
          <w:szCs w:val="32"/>
        </w:rPr>
        <w:t>2022年度年末结转和结余1,848.79万元，较上年决算数减少1.35万元，下降0.1%</w:t>
      </w:r>
      <w:r>
        <w:rPr>
          <w:rStyle w:val="9"/>
          <w:rFonts w:hint="eastAsia" w:ascii="Times New Roman" w:hAnsi="Times New Roman" w:eastAsia="方正仿宋_GBK" w:cs="Times New Roman"/>
          <w:b w:val="0"/>
          <w:sz w:val="32"/>
          <w:szCs w:val="32"/>
        </w:rPr>
        <w:t>，主要原因是加快预算执行，减少了结余。</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
          <w:sz w:val="32"/>
          <w:szCs w:val="32"/>
        </w:rPr>
      </w:pPr>
      <w:r>
        <w:rPr>
          <w:rStyle w:val="9"/>
          <w:rFonts w:ascii="Times New Roman" w:hAnsi="Times New Roman" w:eastAsia="方正楷体_GBK" w:cs="Times New Roman"/>
          <w:b w:val="0"/>
          <w:sz w:val="32"/>
          <w:szCs w:val="32"/>
        </w:rPr>
        <w:t>（二）财政拨款收入支出决算总体情况说明</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2022年度财政拨款收、支总计14,633.58万元。与2021年相比，财政拨款收、支总计各减少4,325.61万元，下降22.8%。主要原因是厉行节约，减少年初预算</w:t>
      </w:r>
      <w:r>
        <w:rPr>
          <w:rStyle w:val="9"/>
          <w:rFonts w:hint="eastAsia" w:ascii="Times New Roman" w:hAnsi="Times New Roman" w:eastAsia="方正仿宋_GBK" w:cs="Times New Roman"/>
          <w:b w:val="0"/>
          <w:sz w:val="32"/>
          <w:szCs w:val="32"/>
        </w:rPr>
        <w:t>。</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仿宋_GBK" w:cs="Times New Roman"/>
          <w:sz w:val="32"/>
          <w:szCs w:val="32"/>
        </w:rPr>
      </w:pPr>
      <w:r>
        <w:rPr>
          <w:rStyle w:val="9"/>
          <w:rFonts w:hint="eastAsia" w:ascii="Times New Roman" w:hAnsi="Times New Roman" w:eastAsia="方正楷体_GBK" w:cs="Times New Roman"/>
          <w:b w:val="0"/>
          <w:sz w:val="32"/>
          <w:szCs w:val="32"/>
        </w:rPr>
        <w:t>（三）一般公共预算财政拨款支出决算情况说明</w:t>
      </w:r>
    </w:p>
    <w:p>
      <w:pPr>
        <w:pStyle w:val="6"/>
        <w:shd w:val="clear" w:color="auto" w:fill="FFFFFF"/>
        <w:spacing w:before="0" w:beforeAutospacing="0" w:after="0" w:afterAutospacing="0" w:line="600" w:lineRule="exact"/>
        <w:ind w:firstLine="643" w:firstLineChars="200"/>
        <w:jc w:val="both"/>
        <w:rPr>
          <w:rFonts w:ascii="Times New Roman" w:hAnsi="Times New Roman" w:eastAsia="方正仿宋_GBK" w:cs="Times New Roman"/>
          <w:sz w:val="32"/>
          <w:szCs w:val="32"/>
        </w:rPr>
      </w:pPr>
      <w:r>
        <w:rPr>
          <w:rStyle w:val="9"/>
          <w:rFonts w:ascii="Times New Roman" w:hAnsi="Times New Roman" w:eastAsia="方正仿宋_GBK" w:cs="Times New Roman"/>
          <w:sz w:val="32"/>
          <w:szCs w:val="32"/>
        </w:rPr>
        <w:t> </w:t>
      </w:r>
      <w:r>
        <w:rPr>
          <w:rStyle w:val="9"/>
          <w:rFonts w:ascii="Times New Roman" w:hAnsi="Times New Roman" w:eastAsia="方正仿宋_GBK" w:cs="Times New Roman"/>
          <w:b w:val="0"/>
          <w:sz w:val="32"/>
          <w:szCs w:val="32"/>
        </w:rPr>
        <w:t>1.收入情况。</w:t>
      </w:r>
      <w:r>
        <w:rPr>
          <w:rStyle w:val="9"/>
          <w:rFonts w:hint="eastAsia" w:ascii="Times New Roman" w:hAnsi="Times New Roman" w:eastAsia="方正仿宋_GBK" w:cs="Times New Roman"/>
          <w:b w:val="0"/>
          <w:sz w:val="32"/>
          <w:szCs w:val="32"/>
        </w:rPr>
        <w:t>2022年度一般公共预算财政拨款收入12,721.53万元，较上年决算数减少3,782.88万元，下降22.9%。主要原因是</w:t>
      </w:r>
      <w:r>
        <w:rPr>
          <w:rFonts w:hint="eastAsia" w:ascii="Times New Roman" w:hAnsi="Times New Roman" w:eastAsia="方正仿宋_GBK" w:cs="Times New Roman"/>
          <w:sz w:val="32"/>
          <w:szCs w:val="32"/>
        </w:rPr>
        <w:t>厉行节约，减少年初预算</w:t>
      </w:r>
      <w:r>
        <w:rPr>
          <w:rStyle w:val="9"/>
          <w:rFonts w:hint="eastAsia" w:ascii="Times New Roman" w:hAnsi="Times New Roman" w:eastAsia="方正仿宋_GBK" w:cs="Times New Roman"/>
          <w:b w:val="0"/>
          <w:sz w:val="32"/>
          <w:szCs w:val="32"/>
        </w:rPr>
        <w:t>。较年初预算数增加2,905.72万元，增长29.6%。主要原因是增加了上级追加的各项补助收入。此外，年初财政拨款结转和结余1,848.79万元。</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仿宋_GBK" w:cs="Times New Roman"/>
          <w:b w:val="0"/>
          <w:sz w:val="32"/>
          <w:szCs w:val="32"/>
        </w:rPr>
      </w:pPr>
      <w:r>
        <w:rPr>
          <w:rStyle w:val="9"/>
          <w:rFonts w:ascii="Times New Roman" w:hAnsi="Times New Roman" w:eastAsia="方正仿宋_GBK" w:cs="Times New Roman"/>
          <w:b w:val="0"/>
          <w:sz w:val="32"/>
          <w:szCs w:val="32"/>
        </w:rPr>
        <w:t> 2.支出情况</w:t>
      </w:r>
      <w:r>
        <w:rPr>
          <w:rStyle w:val="9"/>
          <w:rFonts w:hint="eastAsia" w:ascii="Times New Roman" w:hAnsi="Times New Roman" w:eastAsia="方正仿宋_GBK" w:cs="Times New Roman"/>
          <w:b w:val="0"/>
          <w:sz w:val="32"/>
          <w:szCs w:val="32"/>
        </w:rPr>
        <w:t>。2022年度一般公共预算财政拨款支出12,721.53万元，较上年决算数减少3,782.88万元，下降22.9%。主要原因是</w:t>
      </w:r>
      <w:r>
        <w:rPr>
          <w:rFonts w:hint="eastAsia" w:ascii="Times New Roman" w:hAnsi="Times New Roman" w:eastAsia="方正仿宋_GBK" w:cs="Times New Roman"/>
          <w:sz w:val="32"/>
          <w:szCs w:val="32"/>
        </w:rPr>
        <w:t>厉行节约，减少年初预算</w:t>
      </w:r>
      <w:r>
        <w:rPr>
          <w:rStyle w:val="9"/>
          <w:rFonts w:hint="eastAsia" w:ascii="Times New Roman" w:hAnsi="Times New Roman" w:eastAsia="方正仿宋_GBK" w:cs="Times New Roman"/>
          <w:b w:val="0"/>
          <w:sz w:val="32"/>
          <w:szCs w:val="32"/>
        </w:rPr>
        <w:t>。较年初预算数增加2,905.72万元，增长29.6%。主要原因是增加了上级追加的各项补助收入。</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仿宋_GBK" w:cs="Times New Roman"/>
          <w:b w:val="0"/>
          <w:sz w:val="32"/>
          <w:szCs w:val="32"/>
        </w:rPr>
      </w:pPr>
      <w:r>
        <w:rPr>
          <w:rStyle w:val="9"/>
          <w:rFonts w:ascii="Times New Roman" w:hAnsi="Times New Roman" w:eastAsia="方正仿宋_GBK" w:cs="Times New Roman"/>
          <w:b w:val="0"/>
          <w:sz w:val="32"/>
          <w:szCs w:val="32"/>
        </w:rPr>
        <w:t>3.结转结余情况。</w:t>
      </w:r>
      <w:r>
        <w:rPr>
          <w:rStyle w:val="9"/>
          <w:rFonts w:hint="eastAsia" w:ascii="Times New Roman" w:hAnsi="Times New Roman" w:eastAsia="方正仿宋_GBK" w:cs="Times New Roman"/>
          <w:b w:val="0"/>
          <w:sz w:val="32"/>
          <w:szCs w:val="32"/>
        </w:rPr>
        <w:t>2022年度年末一般公共预算财政拨款结转和结余1,848.79万元，较上年决算数减少1.35万元，下降0.1%，</w:t>
      </w:r>
    </w:p>
    <w:p>
      <w:pPr>
        <w:pStyle w:val="6"/>
        <w:shd w:val="clear" w:color="auto" w:fill="FFFFFF"/>
        <w:spacing w:before="0" w:beforeAutospacing="0" w:after="0" w:afterAutospacing="0" w:line="600" w:lineRule="exact"/>
        <w:jc w:val="both"/>
        <w:rPr>
          <w:rFonts w:ascii="Times New Roman" w:hAnsi="Times New Roman" w:eastAsia="方正仿宋_GBK" w:cs="Times New Roman"/>
          <w:sz w:val="32"/>
          <w:szCs w:val="32"/>
        </w:rPr>
      </w:pPr>
      <w:r>
        <w:rPr>
          <w:rStyle w:val="9"/>
          <w:rFonts w:hint="eastAsia" w:ascii="Times New Roman" w:hAnsi="Times New Roman" w:eastAsia="方正仿宋_GBK" w:cs="Times New Roman"/>
          <w:b w:val="0"/>
          <w:sz w:val="32"/>
          <w:szCs w:val="32"/>
        </w:rPr>
        <w:t>主要原因是加快预算执行，减少了结余。</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仿宋_GBK" w:cs="Times New Roman"/>
          <w:b w:val="0"/>
          <w:sz w:val="32"/>
          <w:szCs w:val="32"/>
        </w:rPr>
        <w:t> 4.比较情况。</w:t>
      </w:r>
      <w:r>
        <w:rPr>
          <w:rFonts w:hint="eastAsia" w:ascii="Times New Roman" w:hAnsi="Times New Roman" w:eastAsia="方正仿宋_GBK" w:cs="Times New Roman"/>
          <w:sz w:val="32"/>
          <w:szCs w:val="32"/>
        </w:rPr>
        <w:t>本部门2022年度一般公共预算财政拨款支出主要用于以下几个方面：</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（1）一般公共服务支出4,023.18万元，占31.6%，较年初预算数减少181.01万元，下降4.3%，主要原因</w:t>
      </w:r>
      <w:r>
        <w:rPr>
          <w:rFonts w:hint="eastAsia" w:ascii="Times New Roman" w:hAnsi="Times New Roman" w:eastAsia="方正仿宋_GBK" w:cs="Times New Roman"/>
          <w:sz w:val="32"/>
          <w:szCs w:val="32"/>
          <w:lang w:eastAsia="zh-CN"/>
        </w:rPr>
        <w:t>是</w:t>
      </w:r>
      <w:r>
        <w:rPr>
          <w:rFonts w:hint="eastAsia" w:ascii="Times New Roman" w:hAnsi="Times New Roman" w:eastAsia="方正仿宋_GBK" w:cs="Times New Roman"/>
          <w:sz w:val="32"/>
          <w:szCs w:val="32"/>
        </w:rPr>
        <w:t>厉行节约，减少年初预算。</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（2）公共安全支出89.43万元，占0.7%，较年初预算数增加7.81万元，增长9.6%，主要原因是追加了政法综治工作经费。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（3）科学技术支出121.95万元，占1.0%，较年初预算数增加81.95万元，增长204.9%，主要原因是追加了科技创新专项经费。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highlight w:val="red"/>
        </w:rPr>
      </w:pPr>
      <w:r>
        <w:rPr>
          <w:rFonts w:hint="eastAsia" w:ascii="Times New Roman" w:hAnsi="Times New Roman" w:eastAsia="方正仿宋_GBK" w:cs="Times New Roman"/>
          <w:sz w:val="32"/>
          <w:szCs w:val="32"/>
        </w:rPr>
        <w:t>（4）文化旅游体育与传媒支出224.71万元，占1.8%，较年初预算数增加60.13万元，增长36.5%，主要原因是追加了文服中心免费开放补助、川剧艺术传承、文物保护修缮经费。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5）社会保障与就业支出3,423.91万元，占26.9%，较年初预算数增加985.96万元，增长40.4%，主要原因是追加了义务兵家庭优待金和一次性奖励金、困难群众救助补助、养老服务中心市级建设补助、褒扬纪念及爱国主义教育等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highlight w:val="red"/>
        </w:rPr>
      </w:pPr>
      <w:r>
        <w:rPr>
          <w:rFonts w:hint="eastAsia" w:ascii="Times New Roman" w:hAnsi="Times New Roman" w:eastAsia="方正仿宋_GBK" w:cs="Times New Roman"/>
          <w:sz w:val="32"/>
          <w:szCs w:val="32"/>
        </w:rPr>
        <w:t>（6）卫生健康支出1,310.04万元，占10.3%，较年初预算数增加1,182.57万元，增长927.7%，主要原因是追加了计划生育奖扶转移支付资金、疫情防控专项资金、优抚对象医疗补助等经费。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（7）节能环保支出26.34万元，占0.2%，较年初预算数增加16.34万元，增长163.4%，主要原因是追加了特殊家庭燃气安全装置安装专项经费。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（8）城乡社区支出2,241.66万元，占17.6%，较年初预算数增加208.87万元，增长10.3%，主要原因是追加了高（多）层建筑可燃雨棚及突出外墙防护网宣传及整治、新店村地灾避险安置房、生活垃圾分类等经费。 </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（9）农林水支出461.23万元，占3.6%，较年初预算数减少33.65万元，下降6.8%，主要原因</w:t>
      </w:r>
      <w:r>
        <w:rPr>
          <w:rFonts w:hint="eastAsia" w:ascii="Times New Roman" w:hAnsi="Times New Roman" w:eastAsia="方正仿宋_GBK" w:cs="Times New Roman"/>
          <w:sz w:val="32"/>
          <w:szCs w:val="32"/>
          <w:lang w:eastAsia="zh-CN"/>
        </w:rPr>
        <w:t>是</w:t>
      </w:r>
      <w:r>
        <w:rPr>
          <w:rFonts w:hint="eastAsia" w:ascii="Times New Roman" w:hAnsi="Times New Roman" w:eastAsia="方正仿宋_GBK" w:cs="Times New Roman"/>
          <w:sz w:val="32"/>
          <w:szCs w:val="32"/>
        </w:rPr>
        <w:t>厉行节约，减少预算开支。</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（10）交通运输支出5.53万元，占0.0%，较年初预算数增加5.53万元，增长100.0%，主要原因是使用上年结转“四好农村路”补助经费。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highlight w:val="red"/>
        </w:rPr>
      </w:pPr>
      <w:r>
        <w:rPr>
          <w:rFonts w:hint="eastAsia" w:ascii="Times New Roman" w:hAnsi="Times New Roman" w:eastAsia="方正仿宋_GBK" w:cs="Times New Roman"/>
          <w:sz w:val="32"/>
          <w:szCs w:val="32"/>
        </w:rPr>
        <w:t>（11）商业服务业等支出20.66万元，占0.2%，较年初预算数增加20.66万元，增长100.0%，主要原因是追加了统计工作和数据质量奖专项经费。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（12）自然资源海洋气象等支出60.3万元，占0.5%，较年初预算数增加60.3万元，增长100.0%，主要原因是追加了林业管护、九里村雨污分流改造工程项目经费。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（13）住房保障支出118.48万元，占0.9%，较年初预算数增加26.15万元，增长28.3%，主要原因是追加了农村危房改造（修缮加固）尾款、城镇住房困难家庭廉租补贴经费。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（14）灾害防治及应急管理支出594.11万元，占4.7%，较年初预算数增加464.11万元，增长357.0%，主要原因是追加了海龙村果山路和15社、S547省道山白路（白市驿段）滑坡应急抢险治理项目经费。</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
          <w:sz w:val="32"/>
          <w:szCs w:val="32"/>
        </w:rPr>
      </w:pPr>
      <w:r>
        <w:rPr>
          <w:rStyle w:val="9"/>
          <w:rFonts w:ascii="Times New Roman" w:hAnsi="Times New Roman" w:eastAsia="方正楷体_GBK" w:cs="Times New Roman"/>
          <w:b w:val="0"/>
          <w:sz w:val="32"/>
          <w:szCs w:val="32"/>
        </w:rPr>
        <w:t>（</w:t>
      </w:r>
      <w:r>
        <w:rPr>
          <w:rStyle w:val="9"/>
          <w:rFonts w:hint="eastAsia" w:ascii="Times New Roman" w:hAnsi="Times New Roman" w:eastAsia="方正楷体_GBK" w:cs="Times New Roman"/>
          <w:b w:val="0"/>
          <w:sz w:val="32"/>
          <w:szCs w:val="32"/>
        </w:rPr>
        <w:t>四</w:t>
      </w:r>
      <w:r>
        <w:rPr>
          <w:rStyle w:val="9"/>
          <w:rFonts w:ascii="Times New Roman" w:hAnsi="Times New Roman" w:eastAsia="方正楷体_GBK" w:cs="Times New Roman"/>
          <w:b w:val="0"/>
          <w:sz w:val="32"/>
          <w:szCs w:val="32"/>
        </w:rPr>
        <w:t>）一般公共预算财政拨款基本支出决算情况说明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2022年度一般公共预算财政拨款基本支出3,457.59万元。其中：人员经费2,798.83万元，较上年决算数减少1,035.52万元，下降27.0%，主要原因是厉行节约，减少年初预算。人员经费用途主要包括基本工资、津贴补贴、社会保障缴费、绩效工资、其他福利支出、退休费、其他对个人和家庭的补助支出。公用经费658.76万元，较上年决算数减少1,946.94万元，下降74.7%，主要原因是厉行节约，减少年初预算。公用经费用途主要包括办公费、咨询费、差旅费、劳务费、维修费、公务车运行维护费、水电费及其他商品服务支出。</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
          <w:sz w:val="32"/>
          <w:szCs w:val="32"/>
        </w:rPr>
      </w:pPr>
      <w:r>
        <w:rPr>
          <w:rStyle w:val="9"/>
          <w:rFonts w:ascii="Times New Roman" w:hAnsi="Times New Roman" w:eastAsia="方正楷体_GBK" w:cs="Times New Roman"/>
          <w:b w:val="0"/>
          <w:sz w:val="32"/>
          <w:szCs w:val="32"/>
        </w:rPr>
        <w:t>（</w:t>
      </w:r>
      <w:r>
        <w:rPr>
          <w:rStyle w:val="9"/>
          <w:rFonts w:hint="eastAsia" w:ascii="Times New Roman" w:hAnsi="Times New Roman" w:eastAsia="方正楷体_GBK" w:cs="Times New Roman"/>
          <w:b w:val="0"/>
          <w:sz w:val="32"/>
          <w:szCs w:val="32"/>
        </w:rPr>
        <w:t>五</w:t>
      </w:r>
      <w:r>
        <w:rPr>
          <w:rStyle w:val="9"/>
          <w:rFonts w:ascii="Times New Roman" w:hAnsi="Times New Roman" w:eastAsia="方正楷体_GBK" w:cs="Times New Roman"/>
          <w:b w:val="0"/>
          <w:sz w:val="32"/>
          <w:szCs w:val="32"/>
        </w:rPr>
        <w:t>）政府性基金预算收支决算情况说明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highlight w:val="cyan"/>
        </w:rPr>
      </w:pPr>
      <w:r>
        <w:rPr>
          <w:rFonts w:hint="eastAsia" w:ascii="Times New Roman" w:hAnsi="Times New Roman" w:eastAsia="方正仿宋_GBK" w:cs="Times New Roman"/>
          <w:sz w:val="32"/>
          <w:szCs w:val="32"/>
        </w:rPr>
        <w:t>2022年度政府性基金预算财政拨款年初结转结余0万元，年末结转结余0万元。本年收入63.26万元，较上年决算数减少538.99万元，下降89.5%，主要原因是上级追加经费减少。本年支出63.26万元，较上年决算数减少538.99万元，下降89.5%，主要原因是上级追加经费减少。</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楷体_GBK" w:cs="Times New Roman"/>
          <w:b w:val="0"/>
          <w:sz w:val="32"/>
          <w:szCs w:val="32"/>
        </w:rPr>
      </w:pPr>
      <w:r>
        <w:rPr>
          <w:rFonts w:hint="eastAsia" w:ascii="Times New Roman" w:hAnsi="Times New Roman" w:eastAsia="方正楷体_GBK" w:cs="Times New Roman"/>
          <w:bCs/>
          <w:sz w:val="32"/>
          <w:szCs w:val="32"/>
        </w:rPr>
        <w:t>（六）</w:t>
      </w:r>
      <w:r>
        <w:rPr>
          <w:rStyle w:val="9"/>
          <w:rFonts w:hint="eastAsia" w:ascii="Times New Roman" w:hAnsi="Times New Roman" w:eastAsia="方正楷体_GBK" w:cs="Times New Roman"/>
          <w:b w:val="0"/>
          <w:sz w:val="32"/>
          <w:szCs w:val="32"/>
        </w:rPr>
        <w:t>国有资本经营预算财政拨款支出决算情况说明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本部门2022年度无国有资本经营预算财政拨款支出。</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黑体_GBK" w:cs="Times New Roman"/>
          <w:b/>
          <w:sz w:val="32"/>
          <w:szCs w:val="32"/>
        </w:rPr>
      </w:pPr>
      <w:r>
        <w:rPr>
          <w:rStyle w:val="9"/>
          <w:rFonts w:ascii="Times New Roman" w:hAnsi="Times New Roman" w:eastAsia="方正黑体_GBK" w:cs="Times New Roman"/>
          <w:b w:val="0"/>
          <w:sz w:val="32"/>
          <w:szCs w:val="32"/>
        </w:rPr>
        <w:t>三、</w:t>
      </w:r>
      <w:r>
        <w:rPr>
          <w:rStyle w:val="9"/>
          <w:rFonts w:hint="eastAsia" w:ascii="Times New Roman" w:hAnsi="Times New Roman" w:eastAsia="方正黑体_GBK" w:cs="Times New Roman"/>
          <w:b w:val="0"/>
          <w:sz w:val="32"/>
          <w:szCs w:val="32"/>
        </w:rPr>
        <w:t>“</w:t>
      </w:r>
      <w:r>
        <w:rPr>
          <w:rStyle w:val="9"/>
          <w:rFonts w:ascii="Times New Roman" w:hAnsi="Times New Roman" w:eastAsia="方正黑体_GBK" w:cs="Times New Roman"/>
          <w:b w:val="0"/>
          <w:sz w:val="32"/>
          <w:szCs w:val="32"/>
        </w:rPr>
        <w:t>三公</w:t>
      </w:r>
      <w:r>
        <w:rPr>
          <w:rStyle w:val="9"/>
          <w:rFonts w:hint="eastAsia" w:ascii="Times New Roman" w:hAnsi="Times New Roman" w:eastAsia="方正黑体_GBK" w:cs="Times New Roman"/>
          <w:b w:val="0"/>
          <w:sz w:val="32"/>
          <w:szCs w:val="32"/>
        </w:rPr>
        <w:t>”</w:t>
      </w:r>
      <w:r>
        <w:rPr>
          <w:rStyle w:val="9"/>
          <w:rFonts w:ascii="Times New Roman" w:hAnsi="Times New Roman" w:eastAsia="方正黑体_GBK" w:cs="Times New Roman"/>
          <w:b w:val="0"/>
          <w:sz w:val="32"/>
          <w:szCs w:val="32"/>
        </w:rPr>
        <w:t>经费情况说明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
          <w:sz w:val="32"/>
          <w:szCs w:val="32"/>
        </w:rPr>
      </w:pPr>
      <w:r>
        <w:rPr>
          <w:rStyle w:val="9"/>
          <w:rFonts w:ascii="Times New Roman" w:hAnsi="Times New Roman" w:eastAsia="方正楷体_GBK" w:cs="Times New Roman"/>
          <w:b w:val="0"/>
          <w:sz w:val="32"/>
          <w:szCs w:val="32"/>
        </w:rPr>
        <w:t>（一）</w:t>
      </w:r>
      <w:r>
        <w:rPr>
          <w:rStyle w:val="9"/>
          <w:rFonts w:hint="eastAsia" w:ascii="Times New Roman" w:hAnsi="Times New Roman" w:eastAsia="方正楷体_GBK" w:cs="Times New Roman"/>
          <w:b w:val="0"/>
          <w:sz w:val="32"/>
          <w:szCs w:val="32"/>
        </w:rPr>
        <w:t>“</w:t>
      </w:r>
      <w:r>
        <w:rPr>
          <w:rStyle w:val="9"/>
          <w:rFonts w:ascii="Times New Roman" w:hAnsi="Times New Roman" w:eastAsia="方正楷体_GBK" w:cs="Times New Roman"/>
          <w:b w:val="0"/>
          <w:sz w:val="32"/>
          <w:szCs w:val="32"/>
        </w:rPr>
        <w:t>三公</w:t>
      </w:r>
      <w:r>
        <w:rPr>
          <w:rStyle w:val="9"/>
          <w:rFonts w:hint="eastAsia" w:ascii="Times New Roman" w:hAnsi="Times New Roman" w:eastAsia="方正楷体_GBK" w:cs="Times New Roman"/>
          <w:b w:val="0"/>
          <w:sz w:val="32"/>
          <w:szCs w:val="32"/>
        </w:rPr>
        <w:t>”</w:t>
      </w:r>
      <w:r>
        <w:rPr>
          <w:rStyle w:val="9"/>
          <w:rFonts w:ascii="Times New Roman" w:hAnsi="Times New Roman" w:eastAsia="方正楷体_GBK" w:cs="Times New Roman"/>
          <w:b w:val="0"/>
          <w:sz w:val="32"/>
          <w:szCs w:val="32"/>
        </w:rPr>
        <w:t>经费支出总体情况说明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2022年度“三公”经费支出共计29.16万元，较年初预算数减少70.84万元，下降70.8%，主要原因是公务车辆减少。较上年支出数增加12.66万元，增长76.7%，主要原因是增加了公务用车购置费用，购买了一台公务车。</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
          <w:sz w:val="32"/>
          <w:szCs w:val="32"/>
        </w:rPr>
      </w:pPr>
      <w:r>
        <w:rPr>
          <w:rStyle w:val="9"/>
          <w:rFonts w:ascii="Times New Roman" w:hAnsi="Times New Roman" w:eastAsia="方正楷体_GBK" w:cs="Times New Roman"/>
          <w:b w:val="0"/>
          <w:sz w:val="32"/>
          <w:szCs w:val="32"/>
        </w:rPr>
        <w:t>（二）</w:t>
      </w:r>
      <w:r>
        <w:rPr>
          <w:rStyle w:val="9"/>
          <w:rFonts w:hint="eastAsia" w:ascii="Times New Roman" w:hAnsi="Times New Roman" w:eastAsia="方正楷体_GBK" w:cs="Times New Roman"/>
          <w:b w:val="0"/>
          <w:sz w:val="32"/>
          <w:szCs w:val="32"/>
        </w:rPr>
        <w:t>“</w:t>
      </w:r>
      <w:r>
        <w:rPr>
          <w:rStyle w:val="9"/>
          <w:rFonts w:ascii="Times New Roman" w:hAnsi="Times New Roman" w:eastAsia="方正楷体_GBK" w:cs="Times New Roman"/>
          <w:b w:val="0"/>
          <w:sz w:val="32"/>
          <w:szCs w:val="32"/>
        </w:rPr>
        <w:t>三公</w:t>
      </w:r>
      <w:r>
        <w:rPr>
          <w:rStyle w:val="9"/>
          <w:rFonts w:hint="eastAsia" w:ascii="Times New Roman" w:hAnsi="Times New Roman" w:eastAsia="方正楷体_GBK" w:cs="Times New Roman"/>
          <w:b w:val="0"/>
          <w:sz w:val="32"/>
          <w:szCs w:val="32"/>
        </w:rPr>
        <w:t>”</w:t>
      </w:r>
      <w:r>
        <w:rPr>
          <w:rStyle w:val="9"/>
          <w:rFonts w:ascii="Times New Roman" w:hAnsi="Times New Roman" w:eastAsia="方正楷体_GBK" w:cs="Times New Roman"/>
          <w:b w:val="0"/>
          <w:sz w:val="32"/>
          <w:szCs w:val="32"/>
        </w:rPr>
        <w:t>经费分项支出情况</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2022年度本部门未发生因公出国（境）费用。</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公务车购置费17.99万元，主要用于购买应急车辆一辆。费用支出较年初预算数减少12.01万元，下降40.0%，主要原因是原计划购买的车辆因涨价超出预算，未购买。较上年支出数增加17.99万元，增长100.0%，主要原因是购买应急车辆一辆。</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公务车运行维护费10.87万元，主要用于机要文件交换、市内因公出行、业务检查、特种车辆等工作所需车辆的燃料费、维修费、过桥过路费、保险费等。费用支出较年初预算数减少49.13万元，下降81.9%，主要原因是车辆维修及燃料费用减少。较上年支出数减少5.25万元，下降32.6%，主要原因是车辆维修及燃料费用减少。</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公务接待费0.3万元，主要用于接待、迎接检查、联系协调项目人员及工作交流。费用支出较年初预算数减少9.7万元，下降97.0%，主要原因是</w:t>
      </w:r>
      <w:r>
        <w:rPr>
          <w:rFonts w:hint="eastAsia" w:ascii="Times New Roman" w:hAnsi="Times New Roman" w:eastAsia="方正仿宋_GBK" w:cs="Times New Roman"/>
          <w:sz w:val="32"/>
          <w:szCs w:val="32"/>
          <w:lang w:eastAsia="zh-CN"/>
        </w:rPr>
        <w:t>厉行节约</w:t>
      </w:r>
      <w:r>
        <w:rPr>
          <w:rFonts w:hint="eastAsia" w:ascii="Times New Roman" w:hAnsi="Times New Roman" w:eastAsia="方正仿宋_GBK" w:cs="Times New Roman"/>
          <w:sz w:val="32"/>
          <w:szCs w:val="32"/>
        </w:rPr>
        <w:t>，减少接待费开支。较上年支出数减少0.08万元，下降21.1%，主要原因是</w:t>
      </w:r>
      <w:r>
        <w:rPr>
          <w:rFonts w:hint="eastAsia" w:ascii="Times New Roman" w:hAnsi="Times New Roman" w:eastAsia="方正仿宋_GBK" w:cs="Times New Roman"/>
          <w:sz w:val="32"/>
          <w:szCs w:val="32"/>
          <w:lang w:eastAsia="zh-CN"/>
        </w:rPr>
        <w:t>厉行节约</w:t>
      </w:r>
      <w:r>
        <w:rPr>
          <w:rFonts w:hint="eastAsia" w:ascii="Times New Roman" w:hAnsi="Times New Roman" w:eastAsia="方正仿宋_GBK" w:cs="Times New Roman"/>
          <w:sz w:val="32"/>
          <w:szCs w:val="32"/>
        </w:rPr>
        <w:t>，减少接待费开支。</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楷体_GBK" w:cs="Times New Roman"/>
          <w:b/>
          <w:sz w:val="32"/>
          <w:szCs w:val="32"/>
        </w:rPr>
      </w:pPr>
      <w:r>
        <w:rPr>
          <w:rStyle w:val="9"/>
          <w:rFonts w:ascii="Times New Roman" w:hAnsi="Times New Roman" w:eastAsia="方正楷体_GBK" w:cs="Times New Roman"/>
          <w:b w:val="0"/>
          <w:sz w:val="32"/>
          <w:szCs w:val="32"/>
        </w:rPr>
        <w:t>（三）</w:t>
      </w:r>
      <w:r>
        <w:rPr>
          <w:rStyle w:val="9"/>
          <w:rFonts w:hint="eastAsia" w:ascii="Times New Roman" w:hAnsi="Times New Roman" w:eastAsia="方正楷体_GBK" w:cs="Times New Roman"/>
          <w:b w:val="0"/>
          <w:sz w:val="32"/>
          <w:szCs w:val="32"/>
        </w:rPr>
        <w:t>“</w:t>
      </w:r>
      <w:r>
        <w:rPr>
          <w:rStyle w:val="9"/>
          <w:rFonts w:ascii="Times New Roman" w:hAnsi="Times New Roman" w:eastAsia="方正楷体_GBK" w:cs="Times New Roman"/>
          <w:b w:val="0"/>
          <w:sz w:val="32"/>
          <w:szCs w:val="32"/>
        </w:rPr>
        <w:t>三公</w:t>
      </w:r>
      <w:r>
        <w:rPr>
          <w:rStyle w:val="9"/>
          <w:rFonts w:hint="eastAsia" w:ascii="Times New Roman" w:hAnsi="Times New Roman" w:eastAsia="方正楷体_GBK" w:cs="Times New Roman"/>
          <w:b w:val="0"/>
          <w:sz w:val="32"/>
          <w:szCs w:val="32"/>
        </w:rPr>
        <w:t>”</w:t>
      </w:r>
      <w:r>
        <w:rPr>
          <w:rStyle w:val="9"/>
          <w:rFonts w:ascii="Times New Roman" w:hAnsi="Times New Roman" w:eastAsia="方正楷体_GBK" w:cs="Times New Roman"/>
          <w:b w:val="0"/>
          <w:sz w:val="32"/>
          <w:szCs w:val="32"/>
        </w:rPr>
        <w:t>经费实物量情况</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2022年度本部门因公出国（境）共计0个团组，0人；公务用车购置1辆，公务车保有量为20辆；国内公务接待4批次68人，其中：国内外事接待0批次，</w:t>
      </w:r>
      <w:r>
        <w:rPr>
          <w:rFonts w:ascii="Times New Roman" w:hAnsi="Times New Roman" w:eastAsia="方正仿宋_GBK" w:cs="Times New Roman"/>
          <w:sz w:val="32"/>
          <w:szCs w:val="32"/>
        </w:rPr>
        <w:t>0</w:t>
      </w:r>
      <w:r>
        <w:rPr>
          <w:rFonts w:hint="eastAsia" w:ascii="Times New Roman" w:hAnsi="Times New Roman" w:eastAsia="方正仿宋_GBK" w:cs="Times New Roman"/>
          <w:sz w:val="32"/>
          <w:szCs w:val="32"/>
        </w:rPr>
        <w:t xml:space="preserve">人；国（境）外公务接待0批次，0人。2022年本部门人均接待费44.38元，车均购置费17.99万元，车均维护费0.54万元。    </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黑体_GBK" w:cs="Times New Roman"/>
          <w:b/>
          <w:sz w:val="32"/>
          <w:szCs w:val="32"/>
        </w:rPr>
      </w:pPr>
      <w:r>
        <w:rPr>
          <w:rStyle w:val="9"/>
          <w:rFonts w:ascii="Times New Roman" w:hAnsi="Times New Roman" w:eastAsia="方正黑体_GBK" w:cs="Times New Roman"/>
          <w:b w:val="0"/>
          <w:sz w:val="32"/>
          <w:szCs w:val="32"/>
        </w:rPr>
        <w:t>四、其他需要说明的事项</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楷体_GBK" w:cs="Times New Roman"/>
          <w:b w:val="0"/>
          <w:sz w:val="32"/>
          <w:szCs w:val="32"/>
        </w:rPr>
      </w:pPr>
      <w:r>
        <w:rPr>
          <w:rStyle w:val="9"/>
          <w:rFonts w:hint="eastAsia" w:ascii="Times New Roman" w:hAnsi="Times New Roman" w:eastAsia="方正楷体_GBK" w:cs="Times New Roman"/>
          <w:b w:val="0"/>
          <w:sz w:val="32"/>
          <w:szCs w:val="32"/>
        </w:rPr>
        <w:t>（一）财政拨款会议费和培训费情况说明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hint="eastAsia" w:ascii="Times New Roman" w:hAnsi="Times New Roman" w:eastAsia="方正楷体_GBK" w:cs="Times New Roman"/>
          <w:b w:val="0"/>
          <w:sz w:val="32"/>
          <w:szCs w:val="32"/>
        </w:rPr>
        <w:t> </w:t>
      </w:r>
      <w:r>
        <w:rPr>
          <w:rFonts w:hint="eastAsia" w:ascii="Times New Roman" w:hAnsi="Times New Roman" w:eastAsia="方正仿宋_GBK" w:cs="Times New Roman"/>
          <w:sz w:val="32"/>
          <w:szCs w:val="32"/>
        </w:rPr>
        <w:t>本年度会议费支出3.21万元，较上年决算数减少0.79万元，下降19.8%，主要原因是</w:t>
      </w:r>
      <w:r>
        <w:rPr>
          <w:rFonts w:hint="eastAsia" w:ascii="Times New Roman" w:hAnsi="Times New Roman" w:eastAsia="方正仿宋_GBK" w:cs="Times New Roman"/>
          <w:sz w:val="32"/>
          <w:szCs w:val="32"/>
          <w:lang w:eastAsia="zh-CN"/>
        </w:rPr>
        <w:t>厉行节约</w:t>
      </w:r>
      <w:r>
        <w:rPr>
          <w:rFonts w:hint="eastAsia" w:ascii="Times New Roman" w:hAnsi="Times New Roman" w:eastAsia="方正仿宋_GBK" w:cs="Times New Roman"/>
          <w:sz w:val="32"/>
          <w:szCs w:val="32"/>
        </w:rPr>
        <w:t>，减少会议费开支。本年度培训费支出4.46万元，较上年决算数减少6.36万元，下降58.8%，主要原因是</w:t>
      </w:r>
      <w:r>
        <w:rPr>
          <w:rFonts w:hint="eastAsia" w:ascii="Times New Roman" w:hAnsi="Times New Roman" w:eastAsia="方正仿宋_GBK" w:cs="Times New Roman"/>
          <w:sz w:val="32"/>
          <w:szCs w:val="32"/>
          <w:lang w:eastAsia="zh-CN"/>
        </w:rPr>
        <w:t>厉行节约</w:t>
      </w:r>
      <w:r>
        <w:rPr>
          <w:rFonts w:hint="eastAsia" w:ascii="Times New Roman" w:hAnsi="Times New Roman" w:eastAsia="方正仿宋_GBK" w:cs="Times New Roman"/>
          <w:sz w:val="32"/>
          <w:szCs w:val="32"/>
        </w:rPr>
        <w:t xml:space="preserve">，减少培训费开支。 </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楷体_GBK" w:cs="Times New Roman"/>
          <w:b w:val="0"/>
          <w:sz w:val="32"/>
          <w:szCs w:val="32"/>
        </w:rPr>
      </w:pPr>
      <w:r>
        <w:rPr>
          <w:rStyle w:val="9"/>
          <w:rFonts w:hint="eastAsia" w:ascii="Times New Roman" w:hAnsi="Times New Roman" w:eastAsia="方正楷体_GBK" w:cs="Times New Roman"/>
          <w:b w:val="0"/>
          <w:sz w:val="32"/>
          <w:szCs w:val="32"/>
        </w:rPr>
        <w:t>（二）</w:t>
      </w:r>
      <w:r>
        <w:rPr>
          <w:rStyle w:val="9"/>
          <w:rFonts w:ascii="Times New Roman" w:hAnsi="Times New Roman" w:eastAsia="方正楷体_GBK" w:cs="Times New Roman"/>
          <w:b w:val="0"/>
          <w:sz w:val="32"/>
          <w:szCs w:val="32"/>
        </w:rPr>
        <w:t>机关运行经费</w:t>
      </w:r>
      <w:r>
        <w:rPr>
          <w:rStyle w:val="9"/>
          <w:rFonts w:hint="eastAsia" w:ascii="Times New Roman" w:hAnsi="Times New Roman" w:eastAsia="方正楷体_GBK" w:cs="Times New Roman"/>
          <w:b w:val="0"/>
          <w:sz w:val="32"/>
          <w:szCs w:val="32"/>
        </w:rPr>
        <w:t>支出</w:t>
      </w:r>
      <w:r>
        <w:rPr>
          <w:rStyle w:val="9"/>
          <w:rFonts w:ascii="Times New Roman" w:hAnsi="Times New Roman" w:eastAsia="方正楷体_GBK" w:cs="Times New Roman"/>
          <w:b w:val="0"/>
          <w:sz w:val="32"/>
          <w:szCs w:val="32"/>
        </w:rPr>
        <w:t>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2022年度本部门机关运行经费支出392.73万元，主要用于开支办公费、公务车运行维护费、维修费、劳务费、其他商品服务支出等。机关运行经费较上年决算数减少1,292.49万元，下降76.7%，主要原因是</w:t>
      </w:r>
      <w:r>
        <w:rPr>
          <w:rFonts w:hint="eastAsia" w:ascii="Times New Roman" w:hAnsi="Times New Roman" w:eastAsia="方正仿宋_GBK" w:cs="Times New Roman"/>
          <w:sz w:val="32"/>
          <w:szCs w:val="32"/>
          <w:lang w:eastAsia="zh-CN"/>
        </w:rPr>
        <w:t>厉行节约</w:t>
      </w:r>
      <w:r>
        <w:rPr>
          <w:rFonts w:hint="eastAsia" w:ascii="Times New Roman" w:hAnsi="Times New Roman" w:eastAsia="方正仿宋_GBK" w:cs="Times New Roman"/>
          <w:sz w:val="32"/>
          <w:szCs w:val="32"/>
        </w:rPr>
        <w:t>，减少机关运行经费开支。</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楷体_GBK" w:cs="Times New Roman"/>
          <w:b w:val="0"/>
          <w:sz w:val="32"/>
          <w:szCs w:val="32"/>
        </w:rPr>
      </w:pPr>
      <w:r>
        <w:rPr>
          <w:rStyle w:val="9"/>
          <w:rFonts w:hint="eastAsia" w:ascii="Times New Roman" w:hAnsi="Times New Roman" w:eastAsia="方正楷体_GBK" w:cs="Times New Roman"/>
          <w:b w:val="0"/>
          <w:sz w:val="32"/>
          <w:szCs w:val="32"/>
        </w:rPr>
        <w:t>（三）</w:t>
      </w:r>
      <w:r>
        <w:rPr>
          <w:rStyle w:val="9"/>
          <w:rFonts w:ascii="Times New Roman" w:hAnsi="Times New Roman" w:eastAsia="方正楷体_GBK" w:cs="Times New Roman"/>
          <w:b w:val="0"/>
          <w:sz w:val="32"/>
          <w:szCs w:val="32"/>
        </w:rPr>
        <w:t>国有资产占用情况说明</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截至2022年12月31日，本部门共有车辆20辆，其中，副部（省）级及以上领导用车0辆、主要领导干部用车0辆、机要通信用车6辆、应急保障用车3辆、执法执勤用车0辆，特种专业技术用车11辆，离退休干部用车0辆，其他用车0辆。无单价100万元（含）以上设备（不含车辆）。</w:t>
      </w:r>
    </w:p>
    <w:p>
      <w:pPr>
        <w:pStyle w:val="6"/>
        <w:shd w:val="clear" w:color="auto" w:fill="FFFFFF"/>
        <w:spacing w:before="0" w:beforeAutospacing="0" w:after="0" w:afterAutospacing="0" w:line="600" w:lineRule="exact"/>
        <w:ind w:firstLine="640" w:firstLineChars="200"/>
        <w:jc w:val="both"/>
        <w:rPr>
          <w:rStyle w:val="9"/>
          <w:rFonts w:ascii="Times New Roman" w:hAnsi="Times New Roman" w:eastAsia="方正楷体_GBK" w:cs="Times New Roman"/>
          <w:b w:val="0"/>
          <w:sz w:val="32"/>
          <w:szCs w:val="32"/>
        </w:rPr>
      </w:pPr>
      <w:r>
        <w:rPr>
          <w:rStyle w:val="9"/>
          <w:rFonts w:hint="eastAsia" w:ascii="Times New Roman" w:hAnsi="Times New Roman" w:eastAsia="方正楷体_GBK" w:cs="Times New Roman"/>
          <w:b w:val="0"/>
          <w:sz w:val="32"/>
          <w:szCs w:val="32"/>
        </w:rPr>
        <w:t>（四）</w:t>
      </w:r>
      <w:r>
        <w:rPr>
          <w:rStyle w:val="9"/>
          <w:rFonts w:ascii="Times New Roman" w:hAnsi="Times New Roman" w:eastAsia="方正楷体_GBK" w:cs="Times New Roman"/>
          <w:b w:val="0"/>
          <w:sz w:val="32"/>
          <w:szCs w:val="32"/>
        </w:rPr>
        <w:t>政府采购支出情况说明</w:t>
      </w:r>
      <w:r>
        <w:rPr>
          <w:rStyle w:val="9"/>
          <w:rFonts w:hint="eastAsia" w:ascii="Times New Roman" w:hAnsi="Times New Roman" w:eastAsia="方正楷体_GBK" w:cs="Times New Roman"/>
          <w:b w:val="0"/>
          <w:sz w:val="32"/>
          <w:szCs w:val="32"/>
        </w:rPr>
        <w:t xml:space="preserve"> </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2022年度本部门政府采购支出总额556.02万元，其中：政府采购货物支出19.17万元、政府采购工程支出347万元、政府采购服务支出189.85万元。授予中小企业合同金额556.02万元，占政府采购支出总额的100.0%，其中：授予小微企业合同金额444.41万元，占政府采购支出总额的79.9%。主要用于采购白市驿镇便民服务中心/党群服务中心装修项目、黄金社区党群服务中心/便民服务站装修项目、应急执法装备笔记本电脑等。</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黑体_GBK" w:cs="Times New Roman"/>
          <w:sz w:val="32"/>
          <w:szCs w:val="32"/>
          <w:shd w:val="clear" w:color="auto" w:fill="FFFFFF"/>
        </w:rPr>
      </w:pPr>
      <w:r>
        <w:rPr>
          <w:rFonts w:hint="eastAsia" w:ascii="方正黑体_GBK" w:hAnsi="方正黑体_GBK" w:eastAsia="方正黑体_GBK" w:cs="方正黑体_GBK"/>
          <w:sz w:val="32"/>
          <w:szCs w:val="32"/>
          <w:shd w:val="clear" w:color="auto" w:fill="FFFFFF"/>
        </w:rPr>
        <w:t>五、预算绩效管理情况说明</w:t>
      </w:r>
    </w:p>
    <w:p>
      <w:pPr>
        <w:pStyle w:val="6"/>
        <w:widowControl w:val="0"/>
        <w:tabs>
          <w:tab w:val="center" w:pos="4153"/>
          <w:tab w:val="left" w:pos="7275"/>
        </w:tabs>
        <w:spacing w:before="0" w:beforeAutospacing="0" w:after="0" w:afterAutospacing="0" w:line="600" w:lineRule="exact"/>
        <w:ind w:firstLine="640" w:firstLineChars="200"/>
        <w:jc w:val="both"/>
        <w:rPr>
          <w:rFonts w:ascii="方正楷体_GBK" w:hAnsi="方正楷体_GBK" w:eastAsia="方正楷体_GBK" w:cs="方正楷体_GBK"/>
          <w:bCs/>
          <w:sz w:val="32"/>
          <w:szCs w:val="32"/>
        </w:rPr>
      </w:pPr>
      <w:r>
        <w:rPr>
          <w:rFonts w:hint="eastAsia" w:ascii="方正楷体_GBK" w:hAnsi="方正楷体_GBK" w:eastAsia="方正楷体_GBK" w:cs="方正楷体_GBK"/>
          <w:bCs/>
          <w:sz w:val="32"/>
          <w:szCs w:val="32"/>
          <w:lang w:bidi="ar"/>
        </w:rPr>
        <w:t>（一）预算绩效管理工作开展情况</w:t>
      </w:r>
    </w:p>
    <w:p>
      <w:pPr>
        <w:widowControl w:val="0"/>
        <w:spacing w:line="600" w:lineRule="exact"/>
        <w:ind w:firstLine="640" w:firstLineChars="200"/>
        <w:jc w:val="both"/>
        <w:rPr>
          <w:rFonts w:ascii="Times New Roman" w:hAnsi="Times New Roman" w:eastAsia="方正仿宋_GBK" w:cs="Times New Roman"/>
          <w:sz w:val="32"/>
          <w:szCs w:val="32"/>
          <w:lang w:bidi="ar"/>
        </w:rPr>
      </w:pPr>
      <w:r>
        <w:rPr>
          <w:rFonts w:ascii="Times New Roman" w:hAnsi="Times New Roman" w:eastAsia="方正仿宋_GBK" w:cs="Times New Roman"/>
          <w:sz w:val="32"/>
          <w:szCs w:val="32"/>
          <w:lang w:bidi="ar"/>
        </w:rPr>
        <w:t>根据预算绩效管理要求，我部门对部门整体和88个项目开展了绩效自评，</w:t>
      </w:r>
      <w:r>
        <w:rPr>
          <w:rFonts w:ascii="Times New Roman" w:hAnsi="Times New Roman" w:eastAsia="方正仿宋_GBK" w:cs="Times New Roman"/>
          <w:kern w:val="2"/>
          <w:sz w:val="32"/>
          <w:szCs w:val="32"/>
          <w:lang w:bidi="ar"/>
        </w:rPr>
        <w:t>详见附件1</w:t>
      </w:r>
      <w:r>
        <w:rPr>
          <w:rFonts w:hint="eastAsia" w:ascii="Times New Roman" w:hAnsi="Times New Roman" w:eastAsia="方正仿宋_GBK" w:cs="Times New Roman"/>
          <w:kern w:val="2"/>
          <w:sz w:val="32"/>
          <w:szCs w:val="32"/>
          <w:lang w:bidi="ar"/>
        </w:rPr>
        <w:t>、</w:t>
      </w:r>
      <w:r>
        <w:rPr>
          <w:rFonts w:ascii="Times New Roman" w:hAnsi="Times New Roman" w:eastAsia="方正仿宋_GBK" w:cs="Times New Roman"/>
          <w:kern w:val="2"/>
          <w:sz w:val="32"/>
          <w:szCs w:val="32"/>
          <w:lang w:bidi="ar"/>
        </w:rPr>
        <w:t>附件2。</w:t>
      </w:r>
      <w:r>
        <w:rPr>
          <w:rFonts w:ascii="Times New Roman" w:hAnsi="Times New Roman" w:eastAsia="方正仿宋_GBK" w:cs="Times New Roman"/>
          <w:sz w:val="32"/>
          <w:szCs w:val="32"/>
          <w:lang w:bidi="ar"/>
        </w:rPr>
        <w:t>其中，以填报自评表形式开展自评88项，涉及资金9,327.21万元，从评价情况来看，总体项目实施效果良好，达到了绩效要求。</w:t>
      </w:r>
    </w:p>
    <w:p>
      <w:pPr>
        <w:pStyle w:val="6"/>
        <w:widowControl w:val="0"/>
        <w:tabs>
          <w:tab w:val="center" w:pos="4153"/>
          <w:tab w:val="left" w:pos="7275"/>
        </w:tabs>
        <w:spacing w:before="0" w:beforeAutospacing="0" w:after="0" w:afterAutospacing="0" w:line="600" w:lineRule="exact"/>
        <w:ind w:firstLine="640" w:firstLineChars="200"/>
        <w:jc w:val="both"/>
        <w:rPr>
          <w:rFonts w:ascii="方正楷体_GBK" w:hAnsi="方正楷体_GBK" w:eastAsia="方正楷体_GBK" w:cs="方正楷体_GBK"/>
          <w:bCs/>
        </w:rPr>
      </w:pPr>
      <w:r>
        <w:rPr>
          <w:rFonts w:hint="eastAsia" w:ascii="方正楷体_GBK" w:hAnsi="方正楷体_GBK" w:eastAsia="方正楷体_GBK" w:cs="方正楷体_GBK"/>
          <w:bCs/>
          <w:sz w:val="32"/>
          <w:szCs w:val="32"/>
          <w:lang w:bidi="ar"/>
        </w:rPr>
        <w:t>（二）绩效自评结果</w:t>
      </w:r>
    </w:p>
    <w:p>
      <w:pPr>
        <w:widowControl w:val="0"/>
        <w:spacing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kern w:val="2"/>
          <w:sz w:val="32"/>
          <w:szCs w:val="32"/>
          <w:lang w:bidi="ar"/>
        </w:rPr>
        <w:t>节日慰问金项目绩效目标自评综述：根据年初设定的绩效目标，资金准时到账，做到专款专用，专人管理。项目全年预算数为5万元，执行数为5万元，完成预算的100.0%。主要产出、效果和满意度：一是产出指标完成情况，低保</w:t>
      </w:r>
      <w:r>
        <w:rPr>
          <w:rFonts w:hint="eastAsia" w:ascii="Times New Roman" w:hAnsi="Times New Roman" w:eastAsia="方正仿宋_GBK" w:cs="Times New Roman"/>
          <w:kern w:val="2"/>
          <w:sz w:val="32"/>
          <w:szCs w:val="32"/>
          <w:lang w:bidi="ar"/>
        </w:rPr>
        <w:t>及</w:t>
      </w:r>
      <w:r>
        <w:rPr>
          <w:rFonts w:ascii="Times New Roman" w:hAnsi="Times New Roman" w:eastAsia="方正仿宋_GBK" w:cs="Times New Roman"/>
          <w:kern w:val="2"/>
          <w:sz w:val="32"/>
          <w:szCs w:val="32"/>
          <w:lang w:bidi="ar"/>
        </w:rPr>
        <w:t>节日慰问金发放1219人次；二是效益指标完成情况，群众幸福感达到90.0%；三是满意度指标完成情况，受益人群满意度达到92.0%。</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黑体_GBK" w:cs="Times New Roman"/>
          <w:b/>
          <w:sz w:val="32"/>
          <w:szCs w:val="32"/>
        </w:rPr>
      </w:pPr>
      <w:r>
        <w:rPr>
          <w:rStyle w:val="9"/>
          <w:rFonts w:ascii="Times New Roman" w:hAnsi="Times New Roman" w:eastAsia="方正黑体_GBK" w:cs="Times New Roman"/>
          <w:b w:val="0"/>
          <w:sz w:val="32"/>
          <w:szCs w:val="32"/>
        </w:rPr>
        <w:t>六、专业名词解释</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（一）财政拨款收入</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指本年度从本级财政部门取得的财政拨款，包括一般公共预算财政拨款和政府性基金预算财政拨款。</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（二）事业收入</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指事业单位开展专业业务活动及其辅助活动取得的收入；事业单位收到的财政专户实际核拨的教育收费等资金在此反映。</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（三）经营收入</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指事业单位在专业业务活动及其辅助活动之外开展非独立核算经营活动取得的收入。</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（四）其他收入</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指单位取得的除</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财政拨款收入</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事业收入</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经营收入</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填列在本项内。</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（五）</w:t>
      </w:r>
      <w:r>
        <w:rPr>
          <w:rStyle w:val="9"/>
          <w:rFonts w:hint="eastAsia" w:ascii="Times New Roman" w:hAnsi="Times New Roman" w:eastAsia="方正楷体_GBK" w:cs="Times New Roman"/>
          <w:b w:val="0"/>
          <w:sz w:val="32"/>
          <w:szCs w:val="32"/>
        </w:rPr>
        <w:t>使用非财政拨款结余</w:t>
      </w:r>
      <w:r>
        <w:rPr>
          <w:rFonts w:ascii="Times New Roman" w:hAnsi="Times New Roman" w:eastAsia="方正楷体_GBK" w:cs="Times New Roman"/>
          <w:b/>
          <w:sz w:val="32"/>
          <w:szCs w:val="32"/>
        </w:rPr>
        <w:t>：</w:t>
      </w:r>
      <w:r>
        <w:rPr>
          <w:rFonts w:hint="eastAsia" w:ascii="Times New Roman" w:hAnsi="Times New Roman" w:eastAsia="方正仿宋_GBK" w:cs="Times New Roman"/>
          <w:sz w:val="32"/>
          <w:szCs w:val="32"/>
        </w:rPr>
        <w:t>指单位在当年的“财政拨款收入”、“事业收入”、“经营收入”、“其他收入”等不足以安排当年支出的情况下，使用以前年度积累的非财政拨款结余弥补本年度收支缺口的资金。</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（六）年初结转和结余</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指单位上年结转本年使用的基本支出结转、项目支出结转和结余、经营结余。</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（七）结余分配</w:t>
      </w:r>
      <w:r>
        <w:rPr>
          <w:rFonts w:ascii="Times New Roman" w:hAnsi="Times New Roman" w:eastAsia="方正楷体_GBK" w:cs="Times New Roman"/>
          <w:b/>
          <w:sz w:val="32"/>
          <w:szCs w:val="32"/>
        </w:rPr>
        <w:t>：</w:t>
      </w:r>
      <w:r>
        <w:rPr>
          <w:rFonts w:hint="eastAsia" w:ascii="Times New Roman" w:hAnsi="Times New Roman" w:eastAsia="方正仿宋_GBK" w:cs="Times New Roman"/>
          <w:sz w:val="32"/>
          <w:szCs w:val="32"/>
        </w:rPr>
        <w:t>指单位按照国家有关规定，缴纳所得税、提取专用基金、转入非财政拨款结余等当年结余的分配情况。</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（八）年末结转和结余</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指单位结转下年的基本支出结转、项目支出结转和结余、经营结余。</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（九）基本支出</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指为保障机构正常运转、完成日常工作任务而发生的人员经费和公用经费。其中：人员经费指政府收支分类经济科目中的</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工资福利支出</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和</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对个人和家庭的补助</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；公用经费指政府收支分类经济科目中除</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工资福利支出</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和</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对个人和家庭的补助</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外的其他支出。</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（十）项目支出</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指在基本支出之外为完成特定行政任务和事业发展目标所发生的支出。</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（十一）经营支出</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指事业单位在专业业务活动及其辅助活动之外开展非独立核算经营活动发生的支出。</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（十二）</w:t>
      </w:r>
      <w:r>
        <w:rPr>
          <w:rStyle w:val="9"/>
          <w:rFonts w:hint="eastAsia" w:ascii="Times New Roman" w:hAnsi="Times New Roman" w:eastAsia="方正楷体_GBK" w:cs="Times New Roman"/>
          <w:b w:val="0"/>
          <w:sz w:val="32"/>
          <w:szCs w:val="32"/>
        </w:rPr>
        <w:t>“</w:t>
      </w:r>
      <w:r>
        <w:rPr>
          <w:rStyle w:val="9"/>
          <w:rFonts w:ascii="Times New Roman" w:hAnsi="Times New Roman" w:eastAsia="方正楷体_GBK" w:cs="Times New Roman"/>
          <w:b w:val="0"/>
          <w:sz w:val="32"/>
          <w:szCs w:val="32"/>
        </w:rPr>
        <w:t>三公</w:t>
      </w:r>
      <w:r>
        <w:rPr>
          <w:rStyle w:val="9"/>
          <w:rFonts w:hint="eastAsia" w:ascii="Times New Roman" w:hAnsi="Times New Roman" w:eastAsia="方正楷体_GBK" w:cs="Times New Roman"/>
          <w:b w:val="0"/>
          <w:sz w:val="32"/>
          <w:szCs w:val="32"/>
        </w:rPr>
        <w:t>”</w:t>
      </w:r>
      <w:r>
        <w:rPr>
          <w:rStyle w:val="9"/>
          <w:rFonts w:ascii="Times New Roman" w:hAnsi="Times New Roman" w:eastAsia="方正楷体_GBK" w:cs="Times New Roman"/>
          <w:b w:val="0"/>
          <w:sz w:val="32"/>
          <w:szCs w:val="32"/>
        </w:rPr>
        <w:t>经费</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（十三）机关运行经费</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（十四）工资福利支出（支出经济分类科目类级）</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反映单位开支的在职职工和编制外长期聘用人员的各类劳动报酬，以及为上述人员缴纳的各项社会保险费等。</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（十五）商品和服务支出（支出经济分类科目类级）</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反映单位购买商品和服务的支出（不包括用于购置固定资产的支出、</w:t>
      </w:r>
    </w:p>
    <w:p>
      <w:pPr>
        <w:pStyle w:val="6"/>
        <w:shd w:val="clear" w:color="auto" w:fill="FFFFFF"/>
        <w:spacing w:before="0" w:beforeAutospacing="0" w:after="0" w:afterAutospacing="0" w:line="600" w:lineRule="exact"/>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战略性和应急储备支出）。</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（十六）对个人和家庭的补助（支出经济分类科目类级）</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反映用于对个人和家庭的补助支出。</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Style w:val="9"/>
          <w:rFonts w:ascii="Times New Roman" w:hAnsi="Times New Roman" w:eastAsia="方正楷体_GBK" w:cs="Times New Roman"/>
          <w:b w:val="0"/>
          <w:sz w:val="32"/>
          <w:szCs w:val="32"/>
        </w:rPr>
        <w:t>（十七）其他资本性支出（支出经济分类科目类级）</w:t>
      </w:r>
      <w:r>
        <w:rPr>
          <w:rFonts w:ascii="Times New Roman" w:hAnsi="Times New Roman" w:eastAsia="方正楷体_GBK" w:cs="Times New Roman"/>
          <w:b/>
          <w:sz w:val="32"/>
          <w:szCs w:val="32"/>
        </w:rPr>
        <w:t>：</w:t>
      </w:r>
      <w:r>
        <w:rPr>
          <w:rFonts w:ascii="Times New Roman" w:hAnsi="Times New Roman" w:eastAsia="方正仿宋_GBK" w:cs="Times New Roman"/>
          <w:sz w:val="32"/>
          <w:szCs w:val="32"/>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黑体_GBK" w:cs="Times New Roman"/>
          <w:b/>
          <w:sz w:val="32"/>
          <w:szCs w:val="32"/>
        </w:rPr>
      </w:pPr>
      <w:r>
        <w:rPr>
          <w:rStyle w:val="9"/>
          <w:rFonts w:ascii="Times New Roman" w:hAnsi="Times New Roman" w:eastAsia="方正黑体_GBK" w:cs="Times New Roman"/>
          <w:b w:val="0"/>
          <w:sz w:val="32"/>
          <w:szCs w:val="32"/>
        </w:rPr>
        <w:t>七、决算公开联系方式及信息反馈渠道</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本单位决算公开信息反馈和联系方式：</w:t>
      </w:r>
      <w:r>
        <w:rPr>
          <w:rFonts w:hint="eastAsia" w:ascii="Times New Roman" w:hAnsi="Times New Roman" w:eastAsia="方正仿宋_GBK" w:cs="Times New Roman"/>
          <w:sz w:val="32"/>
          <w:szCs w:val="32"/>
        </w:rPr>
        <w:t>023—</w:t>
      </w:r>
      <w:r>
        <w:rPr>
          <w:rFonts w:ascii="Times New Roman" w:hAnsi="Times New Roman" w:eastAsia="方正仿宋_GBK" w:cs="Times New Roman"/>
          <w:sz w:val="32"/>
          <w:szCs w:val="32"/>
        </w:rPr>
        <w:t>6570</w:t>
      </w:r>
      <w:r>
        <w:rPr>
          <w:rFonts w:hint="eastAsia" w:ascii="Times New Roman" w:hAnsi="Times New Roman" w:eastAsia="方正仿宋_GBK" w:cs="Times New Roman"/>
          <w:sz w:val="32"/>
          <w:szCs w:val="32"/>
        </w:rPr>
        <w:t>7445</w:t>
      </w:r>
    </w:p>
    <w:p>
      <w:pPr>
        <w:pStyle w:val="6"/>
        <w:shd w:val="clear" w:color="auto" w:fill="FFFFFF"/>
        <w:spacing w:before="0" w:beforeAutospacing="0" w:after="0" w:afterAutospacing="0" w:line="600" w:lineRule="exact"/>
        <w:jc w:val="both"/>
        <w:rPr>
          <w:rFonts w:ascii="Times New Roman" w:hAnsi="Times New Roman" w:eastAsia="方正仿宋_GBK" w:cs="Times New Roman"/>
          <w:sz w:val="32"/>
          <w:szCs w:val="32"/>
        </w:rPr>
      </w:pP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附件：1.2022年度部门整体绩效自评表</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2.2022年度二级项目绩效自评表</w:t>
      </w: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p>
    <w:p>
      <w:pPr>
        <w:pStyle w:val="6"/>
        <w:shd w:val="clear" w:color="auto" w:fill="FFFFFF"/>
        <w:spacing w:before="0" w:beforeAutospacing="0" w:after="0" w:afterAutospacing="0" w:line="600" w:lineRule="exact"/>
        <w:ind w:firstLine="640" w:firstLineChars="200"/>
        <w:jc w:val="both"/>
        <w:rPr>
          <w:rFonts w:ascii="Times New Roman" w:hAnsi="Times New Roman" w:eastAsia="方正仿宋_GBK" w:cs="Times New Roman"/>
          <w:sz w:val="32"/>
          <w:szCs w:val="32"/>
        </w:rPr>
      </w:pPr>
    </w:p>
    <w:p>
      <w:pPr>
        <w:spacing w:line="600" w:lineRule="exact"/>
        <w:rPr>
          <w:color w:val="FF0000"/>
        </w:rPr>
      </w:pPr>
    </w:p>
    <w:sectPr>
      <w:footerReference r:id="rId3" w:type="default"/>
      <w:pgSz w:w="11907" w:h="16840"/>
      <w:pgMar w:top="2098" w:right="1531" w:bottom="1985" w:left="1531" w:header="851" w:footer="1531"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embedRegular r:id="rId1" w:fontKey="{857F6FBF-1E6F-4A4F-BFEB-83FCFFC64B22}"/>
  </w:font>
  <w:font w:name="方正小标宋_GBK">
    <w:panose1 w:val="02000000000000000000"/>
    <w:charset w:val="86"/>
    <w:family w:val="script"/>
    <w:pitch w:val="default"/>
    <w:sig w:usb0="A00002BF" w:usb1="38CF7CFA" w:usb2="00082016" w:usb3="00000000" w:csb0="00040001" w:csb1="00000000"/>
    <w:embedRegular r:id="rId2" w:fontKey="{E860423D-F8E0-4D61-9B12-74C3566E4A68}"/>
  </w:font>
  <w:font w:name="方正黑体_GBK">
    <w:altName w:val="微软雅黑"/>
    <w:panose1 w:val="03000509000000000000"/>
    <w:charset w:val="86"/>
    <w:family w:val="script"/>
    <w:pitch w:val="default"/>
    <w:sig w:usb0="00000000" w:usb1="00000000" w:usb2="00000010" w:usb3="00000000" w:csb0="00040000" w:csb1="00000000"/>
    <w:embedRegular r:id="rId3" w:fontKey="{497B7FDD-53C9-42EC-9299-1F06A8D89AB8}"/>
  </w:font>
  <w:font w:name="方正楷体_GBK">
    <w:panose1 w:val="02000000000000000000"/>
    <w:charset w:val="86"/>
    <w:family w:val="script"/>
    <w:pitch w:val="default"/>
    <w:sig w:usb0="800002BF" w:usb1="38CF7CFA" w:usb2="00000016" w:usb3="00000000" w:csb0="00040000" w:csb1="00000000"/>
    <w:embedRegular r:id="rId4" w:fontKey="{C796C578-1999-4F9E-856F-02F839502B3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YWUxOWJhMWE5OGFmZGQyNzA0NjBkZTNhOGRjMDEifQ=="/>
  </w:docVars>
  <w:rsids>
    <w:rsidRoot w:val="18C0428E"/>
    <w:rsid w:val="000942AA"/>
    <w:rsid w:val="0020294C"/>
    <w:rsid w:val="003A67AE"/>
    <w:rsid w:val="004515F3"/>
    <w:rsid w:val="00505D74"/>
    <w:rsid w:val="0063791D"/>
    <w:rsid w:val="006E50AE"/>
    <w:rsid w:val="00844DDD"/>
    <w:rsid w:val="00B91A21"/>
    <w:rsid w:val="00BF6E43"/>
    <w:rsid w:val="00DB6BF9"/>
    <w:rsid w:val="00E62CFB"/>
    <w:rsid w:val="01D17A7A"/>
    <w:rsid w:val="032E43A9"/>
    <w:rsid w:val="044D7146"/>
    <w:rsid w:val="04E55B34"/>
    <w:rsid w:val="051F1210"/>
    <w:rsid w:val="059C3269"/>
    <w:rsid w:val="05E56FA1"/>
    <w:rsid w:val="05F50C49"/>
    <w:rsid w:val="06505CA9"/>
    <w:rsid w:val="06657C4B"/>
    <w:rsid w:val="07223830"/>
    <w:rsid w:val="072C0431"/>
    <w:rsid w:val="082221F6"/>
    <w:rsid w:val="09643A37"/>
    <w:rsid w:val="0A1B01FC"/>
    <w:rsid w:val="0A791772"/>
    <w:rsid w:val="0B2337BE"/>
    <w:rsid w:val="0B984008"/>
    <w:rsid w:val="0BF55B4D"/>
    <w:rsid w:val="0C88057B"/>
    <w:rsid w:val="0DA23868"/>
    <w:rsid w:val="0DD653EC"/>
    <w:rsid w:val="0EAA4438"/>
    <w:rsid w:val="0FF56A52"/>
    <w:rsid w:val="11D73FC6"/>
    <w:rsid w:val="13C832D7"/>
    <w:rsid w:val="13FA62E2"/>
    <w:rsid w:val="146310C9"/>
    <w:rsid w:val="149834AA"/>
    <w:rsid w:val="14B01501"/>
    <w:rsid w:val="14D801C8"/>
    <w:rsid w:val="15BC4B5D"/>
    <w:rsid w:val="174E676D"/>
    <w:rsid w:val="175D6213"/>
    <w:rsid w:val="17775120"/>
    <w:rsid w:val="17E155E1"/>
    <w:rsid w:val="186D7FC6"/>
    <w:rsid w:val="18B4156D"/>
    <w:rsid w:val="18C0428E"/>
    <w:rsid w:val="19EA5DFC"/>
    <w:rsid w:val="1B0F2651"/>
    <w:rsid w:val="1BA94362"/>
    <w:rsid w:val="1BCE6016"/>
    <w:rsid w:val="1BE54317"/>
    <w:rsid w:val="1CA40A01"/>
    <w:rsid w:val="1CD6003C"/>
    <w:rsid w:val="1D1713E2"/>
    <w:rsid w:val="1D4723FB"/>
    <w:rsid w:val="1D696064"/>
    <w:rsid w:val="1D793AAE"/>
    <w:rsid w:val="1DD401A2"/>
    <w:rsid w:val="1DF17DC8"/>
    <w:rsid w:val="1E1478FD"/>
    <w:rsid w:val="1E2934A5"/>
    <w:rsid w:val="1E4B4F01"/>
    <w:rsid w:val="1EDC78D7"/>
    <w:rsid w:val="1F537965"/>
    <w:rsid w:val="2054460B"/>
    <w:rsid w:val="208E566B"/>
    <w:rsid w:val="21E604A4"/>
    <w:rsid w:val="233C5DBE"/>
    <w:rsid w:val="245746FF"/>
    <w:rsid w:val="24A24F9D"/>
    <w:rsid w:val="24B0589D"/>
    <w:rsid w:val="24C83ACE"/>
    <w:rsid w:val="24D407DA"/>
    <w:rsid w:val="258D255A"/>
    <w:rsid w:val="261A2FBD"/>
    <w:rsid w:val="263A1023"/>
    <w:rsid w:val="277B2D9B"/>
    <w:rsid w:val="28652C92"/>
    <w:rsid w:val="298079A9"/>
    <w:rsid w:val="29AB65B8"/>
    <w:rsid w:val="29EC35CD"/>
    <w:rsid w:val="2B5737F9"/>
    <w:rsid w:val="2BAE4BE5"/>
    <w:rsid w:val="2CC37462"/>
    <w:rsid w:val="2CE9672D"/>
    <w:rsid w:val="2CED19F6"/>
    <w:rsid w:val="2E645EB3"/>
    <w:rsid w:val="2FE1698A"/>
    <w:rsid w:val="31202D54"/>
    <w:rsid w:val="31640303"/>
    <w:rsid w:val="320254D0"/>
    <w:rsid w:val="325C6973"/>
    <w:rsid w:val="33357981"/>
    <w:rsid w:val="33695603"/>
    <w:rsid w:val="338B6E84"/>
    <w:rsid w:val="33F531E8"/>
    <w:rsid w:val="34491F87"/>
    <w:rsid w:val="34D2684C"/>
    <w:rsid w:val="355E72FD"/>
    <w:rsid w:val="36826EDD"/>
    <w:rsid w:val="36A77C67"/>
    <w:rsid w:val="36D43EC5"/>
    <w:rsid w:val="36E31020"/>
    <w:rsid w:val="378F4870"/>
    <w:rsid w:val="37CC399E"/>
    <w:rsid w:val="37E16B0E"/>
    <w:rsid w:val="38FA038A"/>
    <w:rsid w:val="3A9276DE"/>
    <w:rsid w:val="3B8A4EEB"/>
    <w:rsid w:val="3C5C6370"/>
    <w:rsid w:val="3D637307"/>
    <w:rsid w:val="3D954F7D"/>
    <w:rsid w:val="3D9A3E56"/>
    <w:rsid w:val="3F237DB3"/>
    <w:rsid w:val="3FD82D4F"/>
    <w:rsid w:val="402D36E7"/>
    <w:rsid w:val="40E55756"/>
    <w:rsid w:val="412B22FA"/>
    <w:rsid w:val="412F3F1C"/>
    <w:rsid w:val="4199531A"/>
    <w:rsid w:val="41B23CE1"/>
    <w:rsid w:val="41BB13D0"/>
    <w:rsid w:val="41F8388B"/>
    <w:rsid w:val="4298554F"/>
    <w:rsid w:val="44493356"/>
    <w:rsid w:val="461306C4"/>
    <w:rsid w:val="46235D12"/>
    <w:rsid w:val="474F70DC"/>
    <w:rsid w:val="47B21E5D"/>
    <w:rsid w:val="47BC726D"/>
    <w:rsid w:val="48B00B93"/>
    <w:rsid w:val="49C857E1"/>
    <w:rsid w:val="49DA4869"/>
    <w:rsid w:val="4BE36755"/>
    <w:rsid w:val="4D6B5861"/>
    <w:rsid w:val="4D835AA0"/>
    <w:rsid w:val="4D982B79"/>
    <w:rsid w:val="4E2A42CF"/>
    <w:rsid w:val="4F4F58C3"/>
    <w:rsid w:val="4F97176C"/>
    <w:rsid w:val="5089470F"/>
    <w:rsid w:val="50A65919"/>
    <w:rsid w:val="51210765"/>
    <w:rsid w:val="52843A30"/>
    <w:rsid w:val="536544AC"/>
    <w:rsid w:val="54661AAC"/>
    <w:rsid w:val="554F4DB4"/>
    <w:rsid w:val="56C24D59"/>
    <w:rsid w:val="5724504C"/>
    <w:rsid w:val="57A1350F"/>
    <w:rsid w:val="586317B7"/>
    <w:rsid w:val="58BB0339"/>
    <w:rsid w:val="591A4D28"/>
    <w:rsid w:val="5B9473B1"/>
    <w:rsid w:val="5CA75561"/>
    <w:rsid w:val="5F1C423C"/>
    <w:rsid w:val="5F845C67"/>
    <w:rsid w:val="60B620AA"/>
    <w:rsid w:val="60DF138A"/>
    <w:rsid w:val="60FA704B"/>
    <w:rsid w:val="611065DF"/>
    <w:rsid w:val="61B32D06"/>
    <w:rsid w:val="61C20E47"/>
    <w:rsid w:val="6227567E"/>
    <w:rsid w:val="62B30BF0"/>
    <w:rsid w:val="62D430B2"/>
    <w:rsid w:val="63CE2269"/>
    <w:rsid w:val="63D76B3A"/>
    <w:rsid w:val="63ED665E"/>
    <w:rsid w:val="64305B12"/>
    <w:rsid w:val="6485666A"/>
    <w:rsid w:val="65EC2192"/>
    <w:rsid w:val="65EE4E6D"/>
    <w:rsid w:val="6635002C"/>
    <w:rsid w:val="665B2233"/>
    <w:rsid w:val="67A260E5"/>
    <w:rsid w:val="67D676AB"/>
    <w:rsid w:val="69957CBB"/>
    <w:rsid w:val="69A43DB8"/>
    <w:rsid w:val="6AB812FB"/>
    <w:rsid w:val="6AD46EC0"/>
    <w:rsid w:val="6B5B102C"/>
    <w:rsid w:val="6B7E4BFE"/>
    <w:rsid w:val="6BA37FFF"/>
    <w:rsid w:val="6C373969"/>
    <w:rsid w:val="6D7A22DA"/>
    <w:rsid w:val="6DE975EF"/>
    <w:rsid w:val="6E1C70C5"/>
    <w:rsid w:val="6F0F51FF"/>
    <w:rsid w:val="6F6407AC"/>
    <w:rsid w:val="6F7F7B60"/>
    <w:rsid w:val="6FA11540"/>
    <w:rsid w:val="711708CF"/>
    <w:rsid w:val="72D82206"/>
    <w:rsid w:val="72E9699E"/>
    <w:rsid w:val="72ED0D6E"/>
    <w:rsid w:val="735B5E1B"/>
    <w:rsid w:val="751931E3"/>
    <w:rsid w:val="752A7B8D"/>
    <w:rsid w:val="77BA7F3A"/>
    <w:rsid w:val="79D867FE"/>
    <w:rsid w:val="7A0020D7"/>
    <w:rsid w:val="7A3D6EE7"/>
    <w:rsid w:val="7AF036DE"/>
    <w:rsid w:val="7C5007CA"/>
    <w:rsid w:val="7C951CC1"/>
    <w:rsid w:val="7CD0760C"/>
    <w:rsid w:val="7CDF5869"/>
    <w:rsid w:val="7DD84397"/>
    <w:rsid w:val="7DEB7507"/>
    <w:rsid w:val="7E1F0584"/>
    <w:rsid w:val="7F254F59"/>
    <w:rsid w:val="7FAB29A1"/>
    <w:rsid w:val="A7FB4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style>
  <w:style w:type="paragraph" w:styleId="3">
    <w:name w:val="Balloon Text"/>
    <w:basedOn w:val="1"/>
    <w:link w:val="17"/>
    <w:uiPriority w:val="0"/>
    <w:rPr>
      <w:sz w:val="18"/>
      <w:szCs w:val="18"/>
    </w:rPr>
  </w:style>
  <w:style w:type="paragraph" w:styleId="4">
    <w:name w:val="footer"/>
    <w:basedOn w:val="1"/>
    <w:link w:val="15"/>
    <w:qFormat/>
    <w:uiPriority w:val="0"/>
    <w:pPr>
      <w:tabs>
        <w:tab w:val="center" w:pos="4153"/>
        <w:tab w:val="right" w:pos="8306"/>
      </w:tabs>
      <w:snapToGrid w:val="0"/>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pPr>
  </w:style>
  <w:style w:type="character" w:styleId="9">
    <w:name w:val="Strong"/>
    <w:basedOn w:val="8"/>
    <w:qFormat/>
    <w:uiPriority w:val="0"/>
    <w:rPr>
      <w:b/>
      <w:bCs/>
    </w:rPr>
  </w:style>
  <w:style w:type="character" w:customStyle="1" w:styleId="10">
    <w:name w:val="15"/>
    <w:basedOn w:val="8"/>
    <w:qFormat/>
    <w:uiPriority w:val="0"/>
    <w:rPr>
      <w:rFonts w:hint="default" w:ascii="Times New Roman" w:hAnsi="Times New Roman" w:cs="Times New Roman"/>
      <w:b/>
      <w:bCs/>
    </w:rPr>
  </w:style>
  <w:style w:type="paragraph" w:customStyle="1" w:styleId="11">
    <w:name w:val="普通(网站) Char"/>
    <w:basedOn w:val="1"/>
    <w:qFormat/>
    <w:uiPriority w:val="0"/>
    <w:pPr>
      <w:spacing w:before="100" w:beforeAutospacing="1" w:after="100" w:afterAutospacing="1"/>
    </w:pPr>
  </w:style>
  <w:style w:type="character" w:customStyle="1" w:styleId="12">
    <w:name w:val="font51"/>
    <w:basedOn w:val="8"/>
    <w:qFormat/>
    <w:uiPriority w:val="0"/>
    <w:rPr>
      <w:rFonts w:hint="eastAsia" w:ascii="宋体" w:hAnsi="宋体" w:eastAsia="宋体" w:cs="宋体"/>
      <w:b/>
      <w:bCs/>
      <w:color w:val="000000"/>
      <w:sz w:val="32"/>
      <w:szCs w:val="32"/>
      <w:u w:val="none"/>
    </w:rPr>
  </w:style>
  <w:style w:type="character" w:customStyle="1" w:styleId="13">
    <w:name w:val="font71"/>
    <w:basedOn w:val="8"/>
    <w:qFormat/>
    <w:uiPriority w:val="0"/>
    <w:rPr>
      <w:rFonts w:hint="eastAsia" w:ascii="方正仿宋_GBK" w:hAnsi="方正仿宋_GBK" w:eastAsia="方正仿宋_GBK" w:cs="方正仿宋_GBK"/>
      <w:color w:val="000000"/>
      <w:sz w:val="20"/>
      <w:szCs w:val="20"/>
      <w:u w:val="none"/>
    </w:rPr>
  </w:style>
  <w:style w:type="character" w:customStyle="1" w:styleId="14">
    <w:name w:val="页眉 Char"/>
    <w:basedOn w:val="8"/>
    <w:link w:val="5"/>
    <w:qFormat/>
    <w:uiPriority w:val="0"/>
    <w:rPr>
      <w:rFonts w:ascii="宋体" w:hAnsi="宋体" w:cs="宋体"/>
      <w:sz w:val="18"/>
      <w:szCs w:val="18"/>
    </w:rPr>
  </w:style>
  <w:style w:type="character" w:customStyle="1" w:styleId="15">
    <w:name w:val="页脚 Char"/>
    <w:basedOn w:val="8"/>
    <w:link w:val="4"/>
    <w:qFormat/>
    <w:uiPriority w:val="0"/>
    <w:rPr>
      <w:rFonts w:ascii="宋体" w:hAnsi="宋体" w:cs="宋体"/>
      <w:sz w:val="18"/>
      <w:szCs w:val="18"/>
    </w:rPr>
  </w:style>
  <w:style w:type="paragraph" w:customStyle="1" w:styleId="16">
    <w:name w:val="msolistparagraph"/>
    <w:basedOn w:val="1"/>
    <w:qFormat/>
    <w:uiPriority w:val="0"/>
    <w:pPr>
      <w:widowControl w:val="0"/>
      <w:ind w:firstLine="420" w:firstLineChars="200"/>
      <w:jc w:val="both"/>
    </w:pPr>
    <w:rPr>
      <w:rFonts w:ascii="Times New Roman" w:hAnsi="Times New Roman" w:cs="Times New Roman"/>
      <w:kern w:val="2"/>
      <w:sz w:val="21"/>
      <w:szCs w:val="22"/>
    </w:rPr>
  </w:style>
  <w:style w:type="character" w:customStyle="1" w:styleId="17">
    <w:name w:val="批注框文本 Char"/>
    <w:basedOn w:val="8"/>
    <w:link w:val="3"/>
    <w:uiPriority w:val="0"/>
    <w:rPr>
      <w:rFonts w:ascii="宋体" w:hAnsi="宋体" w:cs="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972</Words>
  <Characters>5546</Characters>
  <Lines>46</Lines>
  <Paragraphs>13</Paragraphs>
  <TotalTime>136</TotalTime>
  <ScaleCrop>false</ScaleCrop>
  <LinksUpToDate>false</LinksUpToDate>
  <CharactersWithSpaces>6505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2021-10-15T10:36:00Z</dcterms:created>
  <dc:creator>bsy</dc:creator>
  <cp:lastModifiedBy>silence</cp:lastModifiedBy>
  <cp:lastPrinted>2022-11-26T15:43:00Z</cp:lastPrinted>
  <dcterms:modified xsi:type="dcterms:W3CDTF">2023-11-09T09:33:03Z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670AB4F5EA8246039B2D5E8C7D03B739_12</vt:lpwstr>
  </property>
</Properties>
</file>